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f4876"/>
          <w:sz w:val="36"/>
          <w:szCs w:val="36"/>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f4876"/>
          <w:sz w:val="36"/>
          <w:szCs w:val="3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f4876"/>
          <w:sz w:val="36"/>
          <w:szCs w:val="36"/>
        </w:rPr>
      </w:pPr>
      <w:r w:rsidDel="00000000" w:rsidR="00000000" w:rsidRPr="00000000">
        <w:rPr>
          <w:rFonts w:ascii="Calibri" w:cs="Calibri" w:eastAsia="Calibri" w:hAnsi="Calibri"/>
          <w:b w:val="1"/>
          <w:color w:val="0f4876"/>
          <w:sz w:val="36"/>
          <w:szCs w:val="36"/>
        </w:rPr>
        <w:drawing>
          <wp:inline distB="114300" distT="114300" distL="114300" distR="114300">
            <wp:extent cx="4324350" cy="1409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2435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Diversity and Inclusion </w:t>
      </w:r>
    </w:p>
    <w:p w:rsidR="00000000" w:rsidDel="00000000" w:rsidP="00000000" w:rsidRDefault="00000000" w:rsidRPr="00000000" w14:paraId="00000005">
      <w:pPr>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Annual Report</w:t>
        <w:br w:type="textWrapping"/>
        <w:t xml:space="preserve">to Board of Trustees</w:t>
      </w:r>
    </w:p>
    <w:p w:rsidR="00000000" w:rsidDel="00000000" w:rsidP="00000000" w:rsidRDefault="00000000" w:rsidRPr="00000000" w14:paraId="00000006">
      <w:pPr>
        <w:tabs>
          <w:tab w:val="left" w:pos="1440"/>
          <w:tab w:val="left" w:pos="4320"/>
        </w:tabs>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7">
      <w:pPr>
        <w:tabs>
          <w:tab w:val="left" w:pos="1440"/>
          <w:tab w:val="left" w:pos="4320"/>
        </w:tabs>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8">
      <w:pPr>
        <w:tabs>
          <w:tab w:val="left" w:pos="1440"/>
          <w:tab w:val="left" w:pos="4320"/>
        </w:tabs>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9">
      <w:pPr>
        <w:tabs>
          <w:tab w:val="left" w:pos="1440"/>
          <w:tab w:val="left" w:pos="4320"/>
        </w:tabs>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ab/>
        <w:t xml:space="preserve">Report Cycle:</w:t>
        <w:tab/>
        <w:t xml:space="preserve">Fiscal Year 2019-2020</w:t>
      </w:r>
    </w:p>
    <w:p w:rsidR="00000000" w:rsidDel="00000000" w:rsidP="00000000" w:rsidRDefault="00000000" w:rsidRPr="00000000" w14:paraId="0000000A">
      <w:pPr>
        <w:tabs>
          <w:tab w:val="left" w:pos="1440"/>
          <w:tab w:val="left" w:pos="4320"/>
        </w:tabs>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ab/>
        <w:t xml:space="preserve">Submission Date:</w:t>
        <w:tab/>
        <w:t xml:space="preserve">March 22, 2021</w:t>
      </w:r>
    </w:p>
    <w:p w:rsidR="00000000" w:rsidDel="00000000" w:rsidP="00000000" w:rsidRDefault="00000000" w:rsidRPr="00000000" w14:paraId="0000000B">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In accordance with the UNC Policy Manual Sections 300.8.5 and 300.8.5[R], “Regulation on Diversity and Inclusion,” the constituent institutions of the UNC System are required to present to their Board of Trustees (BOT) an annual report on the institution’s diversity and inclusion (D&amp;I) operations and activities.</w:t>
      </w: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f4876"/>
          <w:sz w:val="40"/>
          <w:szCs w:val="40"/>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2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UNC Policy 300.8.5 “Diversity and Inclusion within the University of North Carolina” and  300.8.5[R] “Regulation on Diversity and Inclusion” were adopted September 20, 2019.</w:t>
      </w:r>
    </w:p>
    <w:p w:rsidR="00000000" w:rsidDel="00000000" w:rsidP="00000000" w:rsidRDefault="00000000" w:rsidRPr="00000000" w14:paraId="0000002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Section III of the Policy outlines the University’s Statement of Commitment as follows:</w:t>
      </w:r>
    </w:p>
    <w:p w:rsidR="00000000" w:rsidDel="00000000" w:rsidP="00000000" w:rsidRDefault="00000000" w:rsidRPr="00000000" w14:paraId="00000024">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University features equality of opportunity in education and employment as a core value. To support this value and to meet the University’s educational, research, and public-service goals in an increasingly diverse and global society, the University needs the talents and skills of all qualified and available individuals. To this end, the University is committed to building a culture and community that actively supports and promotes diversity and inclusion for its students, faculty, and staff, and for members of the general public who access our programs, services, and facilities.</w:t>
      </w:r>
    </w:p>
    <w:p w:rsidR="00000000" w:rsidDel="00000000" w:rsidP="00000000" w:rsidRDefault="00000000" w:rsidRPr="00000000" w14:paraId="0000002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UNC Policy 300.8.5[R], Section IX outlines annual reporting guidelines for the constituent institutions.  While several metrics are still being developed, the Regulation requires the following items at a minimum to be included in an annual report to the Boards of Trustees: </w:t>
      </w:r>
    </w:p>
    <w:p w:rsidR="00000000" w:rsidDel="00000000" w:rsidP="00000000" w:rsidRDefault="00000000" w:rsidRPr="00000000" w14:paraId="00000027">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The impact of the institution’s D&amp;I programs and activities with respect to System-wide D&amp;I metrics and institutional D&amp;I goals; </w:t>
      </w:r>
    </w:p>
    <w:p w:rsidR="00000000" w:rsidDel="00000000" w:rsidP="00000000" w:rsidRDefault="00000000" w:rsidRPr="00000000" w14:paraId="00000028">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The number of positions and FTEs with D&amp;I responsibilities, indicating the percentage of each associated with D&amp;I responsibilities; </w:t>
      </w:r>
    </w:p>
    <w:p w:rsidR="00000000" w:rsidDel="00000000" w:rsidP="00000000" w:rsidRDefault="00000000" w:rsidRPr="00000000" w14:paraId="00000029">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An accounting of institutional budget expended on D&amp;I operations and activities, broken out by personnel and non-personnel costs and by funding source (e.g., state funded versus other funded); and </w:t>
      </w:r>
    </w:p>
    <w:p w:rsidR="00000000" w:rsidDel="00000000" w:rsidP="00000000" w:rsidRDefault="00000000" w:rsidRPr="00000000" w14:paraId="0000002A">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A list of signature D&amp;I programs that serve a critical role in helping the constituent institution accomplish its learning and D&amp;I objectives, along with their purpose and any data on outcomes, including relevant participant feedback. </w:t>
      </w:r>
    </w:p>
    <w:p w:rsidR="00000000" w:rsidDel="00000000" w:rsidP="00000000" w:rsidRDefault="00000000" w:rsidRPr="00000000" w14:paraId="0000002B">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C">
      <w:pPr>
        <w:pBdr>
          <w:bottom w:color="0f4876" w:space="1" w:sz="4" w:val="single"/>
        </w:pBdr>
        <w:shd w:fill="0f4876" w:val="clear"/>
        <w:ind w:left="1080" w:hanging="108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PART 1:</w:t>
        <w:tab/>
        <w:t xml:space="preserve">The impact of the institution’s diversity and inclusion (D&amp;I) programs and activities with respect to System-wide D&amp;I metrics and institutional D&amp;I goals</w:t>
      </w:r>
    </w:p>
    <w:p w:rsidR="00000000" w:rsidDel="00000000" w:rsidP="00000000" w:rsidRDefault="00000000" w:rsidRPr="00000000" w14:paraId="0000002D">
      <w:pPr>
        <w:pBdr>
          <w:top w:color="0f4876" w:space="1" w:sz="4" w:val="single"/>
          <w:bottom w:color="0f4876" w:space="1" w:sz="4" w:val="single"/>
        </w:pBdr>
        <w:jc w:val="both"/>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NC State does not have a stand-alone goal related to Diversity and Inclusion in its 2011-2020 Strategic Plan:  Pathway to Success. The upcoming Strategic Plan will have a </w:t>
      </w:r>
      <w:r w:rsidDel="00000000" w:rsidR="00000000" w:rsidRPr="00000000">
        <w:rPr>
          <w:rFonts w:ascii="Calibri" w:cs="Calibri" w:eastAsia="Calibri" w:hAnsi="Calibri"/>
          <w:sz w:val="22"/>
          <w:szCs w:val="22"/>
          <w:rtl w:val="0"/>
        </w:rPr>
        <w:t xml:space="preserve">formal</w:t>
      </w:r>
      <w:r w:rsidDel="00000000" w:rsidR="00000000" w:rsidRPr="00000000">
        <w:rPr>
          <w:rFonts w:ascii="Calibri" w:cs="Calibri" w:eastAsia="Calibri" w:hAnsi="Calibri"/>
          <w:sz w:val="22"/>
          <w:szCs w:val="22"/>
          <w:rtl w:val="0"/>
        </w:rPr>
        <w:t xml:space="preserve"> goal, and this will support and facilitate more uniform reporting on the priorities, objectives, and outcomes for our D&amp;I programs. With the new Strategic Plan in place, NC State will more formally communicate its already stated values and commitment to diversity and will provide a road map for everyone on campus.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Metrics incorporated</w:t>
      </w:r>
      <w:r w:rsidDel="00000000" w:rsidR="00000000" w:rsidRPr="00000000">
        <w:rPr>
          <w:rFonts w:ascii="Calibri" w:cs="Calibri" w:eastAsia="Calibri" w:hAnsi="Calibri"/>
          <w:sz w:val="22"/>
          <w:szCs w:val="22"/>
          <w:rtl w:val="0"/>
        </w:rPr>
        <w:t xml:space="preserve"> into the final 3-year implementation phase of the 2011-2020 Strategic Plan focused on improvements in diversity representation and student success metrics.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Goal 1:  Student Success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goal, which included Enrollment Management metrics, one metric was to increase student diversity</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Female student representation increased from 45% in 2011 to in 48% 2019</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Underrepresented minority student representation increased from 17% in 2011 to 22% in 2019</w:t>
      </w:r>
    </w:p>
    <w:p w:rsidR="00000000" w:rsidDel="00000000" w:rsidP="00000000" w:rsidRDefault="00000000" w:rsidRPr="00000000" w14:paraId="00000034">
      <w:pP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NC State metrics for accreditation reflect similar progress toward more diverse representation and improving the </w:t>
      </w:r>
      <w:r w:rsidDel="00000000" w:rsidR="00000000" w:rsidRPr="00000000">
        <w:rPr>
          <w:rFonts w:ascii="Calibri" w:cs="Calibri" w:eastAsia="Calibri" w:hAnsi="Calibri"/>
          <w:sz w:val="22"/>
          <w:szCs w:val="22"/>
          <w:highlight w:val="white"/>
          <w:rtl w:val="0"/>
        </w:rPr>
        <w:t xml:space="preserve">6-year graduation rate</w:t>
      </w:r>
      <w:r w:rsidDel="00000000" w:rsidR="00000000" w:rsidRPr="00000000">
        <w:rPr>
          <w:rFonts w:ascii="Calibri" w:cs="Calibri" w:eastAsia="Calibri" w:hAnsi="Calibri"/>
          <w:sz w:val="22"/>
          <w:szCs w:val="22"/>
          <w:highlight w:val="white"/>
          <w:rtl w:val="0"/>
        </w:rPr>
        <w:t xml:space="preserve"> for women and for underrepresented minority students.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5">
      <w:pPr>
        <w:numPr>
          <w:ilvl w:val="0"/>
          <w:numId w:val="1"/>
        </w:numPr>
        <w:spacing w:after="0" w:afterAutospacing="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Female student 6-year graduation rates increased from  78%  in 2015 to 87% in 2018, beating the goal of 80%.</w:t>
      </w:r>
    </w:p>
    <w:p w:rsidR="00000000" w:rsidDel="00000000" w:rsidP="00000000" w:rsidRDefault="00000000" w:rsidRPr="00000000" w14:paraId="00000036">
      <w:pPr>
        <w:numPr>
          <w:ilvl w:val="0"/>
          <w:numId w:val="1"/>
        </w:numPr>
        <w:spacing w:after="18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Underrepresented minority student 6-year graduation rates increased from 69% in 2015 to 76% in 2018, not yet achieving the goal of 80%.</w:t>
      </w:r>
      <w:r w:rsidDel="00000000" w:rsidR="00000000" w:rsidRPr="00000000">
        <w:rPr>
          <w:rtl w:val="0"/>
        </w:rPr>
      </w:r>
    </w:p>
    <w:p w:rsidR="00000000" w:rsidDel="00000000" w:rsidP="00000000" w:rsidRDefault="00000000" w:rsidRPr="00000000" w14:paraId="00000037">
      <w:pPr>
        <w:spacing w:after="1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Goal 4:  Organizational Excellence</w:t>
      </w:r>
    </w:p>
    <w:p w:rsidR="00000000" w:rsidDel="00000000" w:rsidP="00000000" w:rsidRDefault="00000000" w:rsidRPr="00000000" w14:paraId="00000038">
      <w:pP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Diversity and Inclusion objective found in this goal focused on Increasing Cultural Competence; however, metrics reported centered on improvements in diversity representation in faculty. </w:t>
      </w:r>
    </w:p>
    <w:p w:rsidR="00000000" w:rsidDel="00000000" w:rsidP="00000000" w:rsidRDefault="00000000" w:rsidRPr="00000000" w14:paraId="00000039">
      <w:pPr>
        <w:numPr>
          <w:ilvl w:val="0"/>
          <w:numId w:val="4"/>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Female tenure track faculty representation increased from 45% in 2011 to in 48% 2019</w:t>
      </w:r>
    </w:p>
    <w:p w:rsidR="00000000" w:rsidDel="00000000" w:rsidP="00000000" w:rsidRDefault="00000000" w:rsidRPr="00000000" w14:paraId="0000003A">
      <w:pPr>
        <w:numPr>
          <w:ilvl w:val="0"/>
          <w:numId w:val="4"/>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Female professional track faculty representation increased from 47% in 2011 to 50% in 2019</w:t>
      </w:r>
    </w:p>
    <w:p w:rsidR="00000000" w:rsidDel="00000000" w:rsidP="00000000" w:rsidRDefault="00000000" w:rsidRPr="00000000" w14:paraId="0000003B">
      <w:pPr>
        <w:numPr>
          <w:ilvl w:val="0"/>
          <w:numId w:val="4"/>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Underrepresented Minority tenure track faculty representation increased from 16% in 2011 to 22% in 2019</w:t>
      </w:r>
    </w:p>
    <w:p w:rsidR="00000000" w:rsidDel="00000000" w:rsidP="00000000" w:rsidRDefault="00000000" w:rsidRPr="00000000" w14:paraId="0000003C">
      <w:pPr>
        <w:numPr>
          <w:ilvl w:val="0"/>
          <w:numId w:val="4"/>
        </w:numPr>
        <w:spacing w:after="1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Underrepresented Minority professional track faculty representation increased from 10% in 2011 to 15% in 2019</w:t>
      </w:r>
    </w:p>
    <w:p w:rsidR="00000000" w:rsidDel="00000000" w:rsidP="00000000" w:rsidRDefault="00000000" w:rsidRPr="00000000" w14:paraId="0000003D">
      <w:pP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not specifically connected to the goals outlined above, NC State demonstrated a significant amount of investment of capacity and resources focused on student recruitment and retention, faculty and staff recruitment and retention, building cultural competency and increasing support for inclusive practices to bolster our progress in recruiting and retaining a more diverse community, as evidenced in the following pages.  NC State can and should be proud of its leadership and investment in D&amp;I; it is a leader among UNC System institutions.  </w:t>
      </w:r>
    </w:p>
    <w:p w:rsidR="00000000" w:rsidDel="00000000" w:rsidP="00000000" w:rsidRDefault="00000000" w:rsidRPr="00000000" w14:paraId="0000003E">
      <w:pP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NC State does not lack in effort or outcomes, and the upcoming Strategic Plan will advance the institution through   a set of common goals, metrics and coordination around our efforts, and therefore the ability to easily measure and report progress.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0">
      <w:pPr>
        <w:pBdr>
          <w:bottom w:color="0f4876" w:space="1" w:sz="4" w:val="single"/>
        </w:pBdr>
        <w:shd w:fill="0f4876" w:val="clear"/>
        <w:ind w:left="1080" w:hanging="108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PART 2:</w:t>
        <w:tab/>
        <w:t xml:space="preserve">The number of positions and FTEs with D&amp;I responsibilities, indicating the percentage of each associated with D&amp;I responsibilities</w:t>
      </w:r>
    </w:p>
    <w:p w:rsidR="00000000" w:rsidDel="00000000" w:rsidP="00000000" w:rsidRDefault="00000000" w:rsidRPr="00000000" w14:paraId="00000041">
      <w:pPr>
        <w:pBdr>
          <w:top w:color="0f4876" w:space="1" w:sz="4" w:val="single"/>
          <w:bottom w:color="0f4876" w:space="1" w:sz="4" w:val="single"/>
        </w:pBdr>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Indicate the staffing provided to support the institution’s D&amp;I program. This includes positions that have designated D&amp;I-related work duties, whether centrally administered or located in various schools, colleges, or divisions. This report is not intended to capture portions of positions less than half-time (0.50 FTE) unless the part-time position is fully dedicated to D&amp;I functions. It is recognized that many faculty and staff throughout the institution may spend some degree of effort on or contribute to institutional D&amp;I activities, even though these activities do not represent the primary focus of their position; however, these should not be included in this report.</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FTE:  16 (OIED) + 38 (all other) = 54 total FTE</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2160"/>
        <w:gridCol w:w="1584"/>
        <w:gridCol w:w="3456"/>
        <w:tblGridChange w:id="0">
          <w:tblGrid>
            <w:gridCol w:w="2160"/>
            <w:gridCol w:w="2160"/>
            <w:gridCol w:w="1584"/>
            <w:gridCol w:w="3456"/>
          </w:tblGrid>
        </w:tblGridChange>
      </w:tblGrid>
      <w:tr>
        <w:tc>
          <w:tcPr>
            <w:shd w:fill="dbe2e9" w:val="clear"/>
            <w:vAlign w:val="center"/>
          </w:tcPr>
          <w:p w:rsidR="00000000" w:rsidDel="00000000" w:rsidP="00000000" w:rsidRDefault="00000000" w:rsidRPr="00000000" w14:paraId="0000004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 Title</w:t>
            </w:r>
          </w:p>
        </w:tc>
        <w:tc>
          <w:tcPr>
            <w:shd w:fill="dbe2e9" w:val="clear"/>
            <w:vAlign w:val="center"/>
          </w:tcPr>
          <w:p w:rsidR="00000000" w:rsidDel="00000000" w:rsidP="00000000" w:rsidRDefault="00000000" w:rsidRPr="00000000" w14:paraId="0000004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School/Division</w:t>
            </w:r>
          </w:p>
        </w:tc>
        <w:tc>
          <w:tcPr>
            <w:shd w:fill="dbe2e9" w:val="clear"/>
            <w:vAlign w:val="center"/>
          </w:tcPr>
          <w:p w:rsidR="00000000" w:rsidDel="00000000" w:rsidP="00000000" w:rsidRDefault="00000000" w:rsidRPr="00000000" w14:paraId="0000004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 of Work Time Assigned to D&amp;I Activities</w:t>
            </w:r>
          </w:p>
        </w:tc>
        <w:tc>
          <w:tcPr>
            <w:shd w:fill="dbe2e9" w:val="clear"/>
            <w:vAlign w:val="center"/>
          </w:tcPr>
          <w:p w:rsidR="00000000" w:rsidDel="00000000" w:rsidP="00000000" w:rsidRDefault="00000000" w:rsidRPr="00000000" w14:paraId="0000004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Brief Description of </w:t>
              <w:br w:type="textWrapping"/>
              <w:t xml:space="preserve">D&amp;I Related Activities</w:t>
            </w:r>
          </w:p>
        </w:tc>
      </w:tr>
      <w:tr>
        <w:tc>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Vice Provost and Chief Diversity Officer (CDO)</w:t>
            </w:r>
          </w:p>
        </w:tc>
        <w:tc>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 for Institutional Equity &amp; Diversity (OIED)</w:t>
            </w:r>
          </w:p>
        </w:tc>
        <w:tc>
          <w:tcPr/>
          <w:p w:rsidR="00000000" w:rsidDel="00000000" w:rsidP="00000000" w:rsidRDefault="00000000" w:rsidRPr="00000000" w14:paraId="0000004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CDO advises the Chancellor on matters of Diversity, Equity, and Inclusion. They facilitate campus-wide engagement with DEI and provide strategic planning for DEI across all campus divisions and units.</w:t>
            </w:r>
          </w:p>
        </w:tc>
      </w:tr>
      <w:tr>
        <w:tc>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Associate Vice Provost, OIED</w:t>
            </w:r>
          </w:p>
        </w:tc>
        <w:tc>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4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Leads University-wide D&amp;I education and outreach, including individual and large-scale cultural competency programs designed to increase inclusion, equity and belonging.  Delivers faculty pipeline development programs. Coordinates recognition of D&amp;I work.</w:t>
            </w:r>
          </w:p>
        </w:tc>
      </w:tr>
      <w:tr>
        <w:tc>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Community Engagement &amp; Training</w:t>
            </w:r>
          </w:p>
        </w:tc>
        <w:tc>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5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Leads D&amp;I Certificate programs such as Cultural Competency, Inclusive Excellence, and specialized/custom programs particularly for faculty and staff.</w:t>
            </w:r>
          </w:p>
        </w:tc>
      </w:tr>
      <w:tr>
        <w:tc>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Community Engagement</w:t>
            </w:r>
          </w:p>
        </w:tc>
        <w:tc>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5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Supports the Director of Community Engagement &amp; Training.</w:t>
            </w:r>
          </w:p>
        </w:tc>
      </w:tr>
      <w:tr>
        <w:tc>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Community Care &amp; Bias Impact Response</w:t>
            </w:r>
          </w:p>
        </w:tc>
        <w:tc>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5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Front-line response to bias reports from faculty, staff and students.  Utilizes a restorative rather than punitive approach.  Curates team of cross-functional areas to provide university response to small- and large scale incidents. </w:t>
            </w:r>
          </w:p>
        </w:tc>
      </w:tr>
      <w:tr>
        <w:tc>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Director, Campus Community Centers</w:t>
            </w:r>
          </w:p>
        </w:tc>
        <w:tc>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w:t>
            </w:r>
          </w:p>
        </w:tc>
        <w:tc>
          <w:tcPr/>
          <w:p w:rsidR="00000000" w:rsidDel="00000000" w:rsidP="00000000" w:rsidRDefault="00000000" w:rsidRPr="00000000" w14:paraId="0000005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Management of Center Directors, budget oversight. Works cross-functionally to collaborate across many University-wide student-facing D&amp;I programs.</w:t>
            </w:r>
          </w:p>
        </w:tc>
      </w:tr>
      <w:tr>
        <w:tc>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African American Cultural Center (AACC)</w:t>
            </w:r>
          </w:p>
        </w:tc>
        <w:tc>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6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in the area of multicultural affairs programming, student development, and retention.</w:t>
            </w:r>
          </w:p>
        </w:tc>
      </w:tr>
      <w:tr>
        <w:tc>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GLBT Center </w:t>
            </w:r>
          </w:p>
        </w:tc>
        <w:tc>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6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in the area of programming, student development, and retention.</w:t>
            </w:r>
          </w:p>
        </w:tc>
      </w:tr>
      <w:tr>
        <w:tc>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Multicultural Student Affairs (MSA)</w:t>
            </w:r>
          </w:p>
        </w:tc>
        <w:tc>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6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in the area of programming, student development, and retention.</w:t>
            </w:r>
          </w:p>
        </w:tc>
      </w:tr>
      <w:tr>
        <w:tc>
          <w:tcPr/>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Women’s Center</w:t>
            </w:r>
          </w:p>
        </w:tc>
        <w:tc>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6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Provides leadership in the area of programming, student development, and retention. Also provides leadership for Interpersonal Violence Prevention (IPV) programs.  </w:t>
            </w:r>
          </w:p>
        </w:tc>
      </w:tr>
      <w:tr>
        <w:tc>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Community Center Assistant Directors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total FTE)</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African American Cultural Center (1)</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MSA (2)</w:t>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GLBT Center (1)</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Women’s Center (2)</w:t>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7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with development and delivery of student-focused programming, support, success and retention. Provides direct student support/contact for individuals and groups.</w:t>
            </w:r>
          </w:p>
        </w:tc>
      </w:tr>
      <w:tr>
        <w:tc>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Community Center Program Coordinators</w:t>
            </w:r>
            <w:r w:rsidDel="00000000" w:rsidR="00000000" w:rsidRPr="00000000">
              <w:rPr>
                <w:rtl w:val="0"/>
              </w:rPr>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total FTE)</w:t>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African American Cultural Center (1)</w:t>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MSA (1)</w:t>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GLBT Center (1)</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Women’s Center (0)</w:t>
            </w:r>
          </w:p>
        </w:tc>
        <w:tc>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OIED - Campus Community Centers</w:t>
            </w:r>
          </w:p>
        </w:tc>
        <w:tc>
          <w:tcPr/>
          <w:p w:rsidR="00000000" w:rsidDel="00000000" w:rsidP="00000000" w:rsidRDefault="00000000" w:rsidRPr="00000000" w14:paraId="0000008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logistical support and program support to activities from the Center. Helps provide direct student support/contact in person for individuals and groups.</w:t>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Dean - Graduate School</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Graduate School</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Oversees fellowship and traineeship programs, facilitates institutional fellowship and award competitions, develops and implements diversity-focused recruiting and retention programs, as well as international and other recruitment initiatives.</w:t>
            </w:r>
            <w:r w:rsidDel="00000000" w:rsidR="00000000" w:rsidRPr="00000000">
              <w:rPr>
                <w:rtl w:val="0"/>
              </w:rPr>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Administrative Support Assoc</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Agriculture &amp; Life Sciences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CALS Office of Diversity and Inclusion and support Director in accomplishing office goals as indicated below.</w:t>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for CALS Office of Diversity and Inclusion</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Agriculture &amp; Life Sciences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8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the CALS Office of Diversity and Inclusion. Goals and expectations include increased diversity and inclusion initiatives in the college, increase positive perceptions of organizational climate as being diverse and inclusive, collaborate with college and university partners to increase diversity among students, faculty, postdocs, and staff in the college.</w:t>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Minority Engineering Programs and Special Advisor to the Dean of the College of Engineering for Diversity, Equity and Inclusion Initiatives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local and national-level leadership and oversight for Women &amp; Minority Engineering Programs (WMEP) in the Office of Academic Affairs in the College of Engineering at NC State University. Provide advice, guidance, assistance and recommendations to the Dean concerning diversity, equity and inclusion for faculty, staff and students in the College of Engineering. The position will provide leadership in assessing current initiatives in order to design, develop, recommend and implement a Diversity Strategic Plan for the College of Engineering to ensure a supportive and inclusive work, teaching and learning environment.</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Associate Director of Women and Minority Engineering Programs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the directors of the women and minority engineering programs in developing, implementing, administering and evaluating programs affecting the success of women and minority engineering students while ensuring an inclusive and supportive environment for all students in the College of Engineering at NC State University.</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Research Center (ERC) Director for Student Diversity Recruitment</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organize, and carry out a year-round program of recruiting actions and other targeted activities that will help both Centers to recruit a more diverse student population. The specific objective is to help the Centers improve their domestic diversity in gender, race, ethnicity, and other demographics in the graduate engineering programs. The Diversity Director will work with faculty at NC State as well as the partner institutions of the two Centers.</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Women in Engineering and The Engineering Place</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9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Director of Women in Engineering, provide local and national-level leadership and oversight for Women &amp; Minority Engineering Programs in the Office of Academic Affairs in the College of Engineering at NC State University.</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Women and Minority Engineering Programs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Engineering</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support and leadership for Women &amp; Minority Engineering Programs initiatives.</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Interim Assoc. Dean for Diversity and Inclusion</w:t>
            </w:r>
          </w:p>
        </w:tc>
        <w:tc>
          <w:tcPr>
            <w:tcBorders>
              <w:top w:color="cccccc" w:space="0" w:sz="7" w:val="single"/>
              <w:left w:color="cccccc" w:space="0" w:sz="7" w:val="single"/>
              <w:bottom w:color="cccccc"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Natural Resources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of College Diversity Initiatives</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 Director for Diversity and Inclusion</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Natural Resources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of College Diversity Initiatives</w:t>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Coordinator</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Humanities and Social Sciences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A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diversity coordinator</w:t>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Dean for Academic Programs, Student Diversity and Engagement</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Sciences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Assistant Dean for Academic Programs, Student Diversity &amp; Engagement will build upon the college’s strong foundation to develop nationally recognized programs whose primary focus is on recruitment and retention of undergraduate students from groups traditionally underrepresented in the College of Sciences. The Assistant Dean will develop a strategic plan for offering diversity of engagement with graduate side and diversity programs to faculty and staff as well. The Assistant Dean will be the instructor of record for USC 101 D, will facilitate and conduct diversity and engagement sessions for the college’s freshman orientation course, will be the advisor for the Society for Multicultural Scientists, the College of Sciences Council, and the Sciences Ambassadors Program. The Assistant Dean will handle semester withdrawal and schedule revision requests &amp; grade changes for all undergraduate students for the College, will serve as the college representative on university committees, and will be the supervisor of record for appropriate administrative staff.</w:t>
            </w:r>
            <w:r w:rsidDel="00000000" w:rsidR="00000000" w:rsidRPr="00000000">
              <w:rPr>
                <w:rtl w:val="0"/>
              </w:rPr>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Women in Science &amp; Engineering</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Sciences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w:t>
            </w:r>
          </w:p>
        </w:tc>
        <w:tc>
          <w:tcPr>
            <w:tcBorders>
              <w:top w:color="cccccc" w:space="0" w:sz="7" w:val="single"/>
              <w:left w:color="cccccc" w:space="0" w:sz="7" w:val="single"/>
              <w:bottom w:color="000000" w:space="0" w:sz="7" w:val="single"/>
              <w:right w:color="cccccc"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Develop, oversee, and coordinate programs and services for the recruitment and retention of female students to the science pipeline and to the College of Sciences. Develop, oversee, and coordinate programs and services that support and enhance the academic, social, emotional and overall success of female students in the College of Sciences. Responsibilities include: developing proposals for external funding for initiatives; oversight of recognition programs and professional development programs for female students, with a special emphasis on the development and coordination of leadership programs and opportunities; and partnering with the Women in Science and Engineering Program, The Science House and other units on campus on K-12 initiatives.</w:t>
            </w:r>
            <w:r w:rsidDel="00000000" w:rsidR="00000000" w:rsidRPr="00000000">
              <w:rPr>
                <w:rtl w:val="0"/>
              </w:rPr>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Director, Women in Science &amp; Engineering</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Sciences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WISE program Assistant Director will assist the Director in providing leadership and direction for first and second-year students in STEM related majors. The Assistant Director will apply student development theory through student programming, advising, and counseling as well as assist in cultivating and maintaining partnerships across campus. This position will work in conjunction with the Director to design, create, and implement academic year programming for the WISE program. This position is also responsible for the daily programming in WISE including the creation of programs and managing the programming calendar for the program.</w:t>
            </w:r>
            <w:r w:rsidDel="00000000" w:rsidR="00000000" w:rsidRPr="00000000">
              <w:rPr>
                <w:rtl w:val="0"/>
              </w:rPr>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Veterinary Medicine</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B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dedicated focus for the College of Veterinary Medicine in its efforts to create and promote a more diverse college environment. This effort encourages successful performance for all CVM faculty, staff, and students.</w:t>
            </w:r>
          </w:p>
          <w:p w:rsidR="00000000" w:rsidDel="00000000" w:rsidP="00000000" w:rsidRDefault="00000000" w:rsidRPr="00000000" w14:paraId="000000C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guidance and advice to the CVM on issues related to institutional diversity enhancement. This effort shall be accomplished under the guidance and support of the college’s administrative leadership.</w:t>
            </w:r>
          </w:p>
          <w:p w:rsidR="00000000" w:rsidDel="00000000" w:rsidP="00000000" w:rsidRDefault="00000000" w:rsidRPr="00000000" w14:paraId="000000C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director:</w:t>
            </w:r>
          </w:p>
          <w:p w:rsidR="00000000" w:rsidDel="00000000" w:rsidP="00000000" w:rsidRDefault="00000000" w:rsidRPr="00000000" w14:paraId="000000C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as a liaison for the college of veterinary medicine on minority and diversity affairs.</w:t>
            </w:r>
          </w:p>
          <w:p w:rsidR="00000000" w:rsidDel="00000000" w:rsidP="00000000" w:rsidRDefault="00000000" w:rsidRPr="00000000" w14:paraId="000000C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as a member and role model for under-represented students.</w:t>
            </w:r>
          </w:p>
          <w:p w:rsidR="00000000" w:rsidDel="00000000" w:rsidP="00000000" w:rsidRDefault="00000000" w:rsidRPr="00000000" w14:paraId="000000C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as advisor to VOICE and the Faculty Committee on Diversity.</w:t>
            </w:r>
          </w:p>
          <w:p w:rsidR="00000000" w:rsidDel="00000000" w:rsidP="00000000" w:rsidRDefault="00000000" w:rsidRPr="00000000" w14:paraId="000000C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on DVM Admissions Committee.</w:t>
            </w:r>
          </w:p>
          <w:p w:rsidR="00000000" w:rsidDel="00000000" w:rsidP="00000000" w:rsidRDefault="00000000" w:rsidRPr="00000000" w14:paraId="000000C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as a recruiter for the CVM and the veterinary profession.</w:t>
            </w:r>
          </w:p>
          <w:p w:rsidR="00000000" w:rsidDel="00000000" w:rsidP="00000000" w:rsidRDefault="00000000" w:rsidRPr="00000000" w14:paraId="000000C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College Services:</w:t>
            </w:r>
          </w:p>
          <w:p w:rsidR="00000000" w:rsidDel="00000000" w:rsidP="00000000" w:rsidRDefault="00000000" w:rsidRPr="00000000" w14:paraId="000000C8">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as advisor to DVM and Graduate URM students.</w:t>
            </w:r>
          </w:p>
          <w:p w:rsidR="00000000" w:rsidDel="00000000" w:rsidP="00000000" w:rsidRDefault="00000000" w:rsidRPr="00000000" w14:paraId="000000C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as Chairperson and/or member of AAVMC Multicultural Affairs Committee.</w:t>
            </w:r>
          </w:p>
          <w:p w:rsidR="00000000" w:rsidDel="00000000" w:rsidP="00000000" w:rsidRDefault="00000000" w:rsidRPr="00000000" w14:paraId="000000C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on various university and CVM committees.</w:t>
            </w:r>
          </w:p>
          <w:p w:rsidR="00000000" w:rsidDel="00000000" w:rsidP="00000000" w:rsidRDefault="00000000" w:rsidRPr="00000000" w14:paraId="000000C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Coordinator of CVM diversity awareness modules.</w:t>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C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Diversity, Equity and Inclusion</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C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Poole College of Management</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C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515151"/>
                <w:sz w:val="22"/>
                <w:szCs w:val="22"/>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D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Advisory to dean on diversity, equity and inclusion strategies and activities for the college. Works with units in the college to assist with achieving college diversity, equity and inclusion goals.</w:t>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of Diversity, Equity and Inclusion</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Guide and lead efforts to cultivate an environment that values and demonstrates DASA’s commitment to equity, diversity, and inclusion (DEI). Responsible for developing, supporting, and implementing diversity and inclusion strategies and programs for the division, serving students impacted by division units and programs. This work is done in partnership with the Office of Institutional Equity and Diversity and DASA leadership.</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and Extension Specialist, JUNTOS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Oversees expansion of the Juntos program in new states and new sites. Ensures that the NC Juntos Program remains the model program for other states. Manages and oversees the out of state and in-state contract agreements before and during their implementation of the Juntos program. </w:t>
            </w:r>
            <w:r w:rsidDel="00000000" w:rsidR="00000000" w:rsidRPr="00000000">
              <w:rPr>
                <w:rFonts w:ascii="Calibri" w:cs="Calibri" w:eastAsia="Calibri" w:hAnsi="Calibri"/>
                <w:sz w:val="22"/>
                <w:szCs w:val="22"/>
                <w:rtl w:val="0"/>
              </w:rPr>
              <w:t xml:space="preserve">Co-Principal</w:t>
            </w:r>
            <w:r w:rsidDel="00000000" w:rsidR="00000000" w:rsidRPr="00000000">
              <w:rPr>
                <w:rFonts w:ascii="Calibri" w:cs="Calibri" w:eastAsia="Calibri" w:hAnsi="Calibri"/>
                <w:sz w:val="22"/>
                <w:szCs w:val="22"/>
                <w:rtl w:val="0"/>
              </w:rPr>
              <w:t xml:space="preserve"> Investigator of Juntos program related grants. Supports NC leadership team with program training, events and workshops.</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Military and Veteran Services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Serves as a champion and ambassador for military-affiliated and veteran students, with the goal of optimizing the academic success of these students and increasing their persistence and graduation rates. Creates programs, activities and services designed to promote and enhance student success. Provides campus-wide leadership in the areas of recruitment, retention, and outreach of military-affiliated students.</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Juntos Assistant Director</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Promotes the Juntos program at the state and local level to build sustainability for local Juntos sites. Manages NC county Juntos staff in their day-to-day program implementation. Supervises work study students and program interns. Manages annual state-level Juntos events and summer academy.</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Director, Collegiate Programs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Senior Director will lead the strategic development, quality and standards of student focused services and will process the heart of the student experience through data, assessments and reports. This position will function as the SSS/SSS-STEM, and McNair (Collegiate TRIO Programs) representative within the University community and will serve as an advocate for all SSS and McNair participants. The Senior Director serves as the Principle Investigator and provides administrative management and oversight to the two SSS academic support programs.</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Director, Talent Search</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position will maintain a caseload of 250+ students providing program counseling and advising services; recruiting students by targeted deadline; certifying eligibility based on federal criteria; entering student contact data in database; assisting senior students with the college application process to ensure entrance to a higher education institution.</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Director, Pre-College Programs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Provides leadership to three federally funded programs, Talent Search (TS), Upward Bound (UB), and East Wake Upward Bound and will be held accountable for their success, continued funding, and compliance with federal guidelines. Serves as the </w:t>
            </w:r>
            <w:r w:rsidDel="00000000" w:rsidR="00000000" w:rsidRPr="00000000">
              <w:rPr>
                <w:rFonts w:ascii="Calibri" w:cs="Calibri" w:eastAsia="Calibri" w:hAnsi="Calibri"/>
                <w:color w:val="333333"/>
                <w:sz w:val="22"/>
                <w:szCs w:val="22"/>
                <w:rtl w:val="0"/>
              </w:rPr>
              <w:t xml:space="preserve">Principal</w:t>
            </w:r>
            <w:r w:rsidDel="00000000" w:rsidR="00000000" w:rsidRPr="00000000">
              <w:rPr>
                <w:rFonts w:ascii="Calibri" w:cs="Calibri" w:eastAsia="Calibri" w:hAnsi="Calibri"/>
                <w:color w:val="333333"/>
                <w:sz w:val="22"/>
                <w:szCs w:val="22"/>
                <w:rtl w:val="0"/>
              </w:rPr>
              <w:t xml:space="preserve"> Investigator and provides administrative management and oversight to assigned programs.</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Talent Search</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Facilitates educational, cultural, and social development enrichment activities for middle and high school program participants, focusing on students in Middle School/Rising Scholars. The position also entails providing participants with an educational environment conducive to obtaining a high school diploma and counsels and coaches participants so that they are prepared to gain entry into a post-secondary institution.</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Director, Student Support Services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focus of the TRIO SSS Assistant Director is to facilitate educational development and academic enrichment for college level participants. Primary responsibilities of the position are to provide participants with a supportive educational environment conducive to meeting course requirements to obtain a college degree and to assist with preparation to gain entry into a postsecondary institution for graduate studies. This position will advise students in overcoming social, cultural, financial, personal, academic, and other challenges to fully participate in the life of the college and ultimately achieve the goal of graduation.</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Coordinator, Collegiate Programs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Facilitate educational development and academic enrichment for college level participants. Primary responsibilities of the position are to provide participants with a supportive educational environment conducive to meeting course requirements to obtain a college degree and to assist with preparation to gain entry into a post secondary institution for graduate studies.</w:t>
            </w:r>
            <w:r w:rsidDel="00000000" w:rsidR="00000000" w:rsidRPr="00000000">
              <w:rPr>
                <w:rtl w:val="0"/>
              </w:rPr>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Director, Student Support Services STEM</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Leads the facilitation of educational development and academic enrichment for college level participants. Primary responsibilities of the position are to provide participants with a supportive educational environment conducive to meeting course requirements to obtain a college degree and to assist with preparation to gain entry into a postsecondary institution for graduate studies. This position will advise students in overcoming social, cultural, financial, personal, academic, and other challenges to fully participate in the life of the college and ultimately achieve the goal of graduation.</w:t>
            </w:r>
            <w:r w:rsidDel="00000000" w:rsidR="00000000" w:rsidRPr="00000000">
              <w:rPr>
                <w:rtl w:val="0"/>
              </w:rPr>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Academic Coordinator, Collegiate Programs</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McNair Academic and Research Coordinator for the TRIO Collegiate Programs will be responsible for program coordination and implementation. This position also includes maintaining a student caseload and quality faculty relationships serving as an advocate and liaison for scholars with various university departments and outside organizations.</w:t>
            </w:r>
            <w:r w:rsidDel="00000000" w:rsidR="00000000" w:rsidRPr="00000000">
              <w:rPr>
                <w:rtl w:val="0"/>
              </w:rPr>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Director, Upward Bound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focus of the Assistant Director is to facilitate academic, cultural and social development enrichment activities for high school participants as well as providing supervision of the academic support program staff for the Upward Bound Programs. The position also entails providing participants with an educational environment conducive to obtaining an high school diploma and assisting with preparation to gain entry into a post-secondary institution.</w:t>
            </w:r>
            <w:r w:rsidDel="00000000" w:rsidR="00000000" w:rsidRPr="00000000">
              <w:rPr>
                <w:rtl w:val="0"/>
              </w:rPr>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Academic Coordinator, Upward Bound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Upward Bound Program is an early intervention pre-college preparatory program funded by the U.S. Department of Education. Provides program services ensuring the personal, vocation and education guidance for each Upward Bound Program participant. Provides academic assistance to specified students designated as part of the rigorous curriculum.</w:t>
            </w:r>
          </w:p>
        </w:tc>
      </w:tr>
      <w:t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 Director, Ronald E. McNair Scholars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Responsible for overseeing programming (including preparations, execution, and evaluation of the academic year and summer sessions), as well as assisting eligible students in all components of the program from advising students in undergraduate research to preparation for graduate school. Includes program evaluation, data collection and analysis, and grant writing.</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Talent Search</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Facilitates educational, cultural, and social development enrichment activities for middle and high school program participants. The position also entails providing participants with an educational environment conducive to obtaining a high school diploma and assisting with preparation to gain entry into a post-secondary institution.</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Upward Bound</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Upward Bound Program is an early intervention pre-college preparatory program funded by the U.S. Department of Education. Provides program services ensuring the personal, vocation and education guidance for each Upward Bound Program participant. Provides academic assistance to specified students designated as part of the rigorous curriculum.</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College Advising Corps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Provide effective day-to-day management and administration for the NC State College Advising Corps; supervise 20 advisors; proactively identify and implement methods for publicizing and promoting the activities of the NC State College Advising Corps; establish, nurture, and sustain relationships, communication, and collaboration between and among the host institution, College Advising Corps, partner high schools and districts, and other stakeholders; and establish and nurture relationships with other college access and community programs in the area and beyond – community agencies, the business community, alumni, and community members.</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Coordinator, College Advising Corps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Academic and Student Affairs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Assistant Program Director will work with the Program Director to provide effective day-to-day management and administration of the NC State College Advising Corps. The Assistant Program Director will work with the Program Director to assess needs for program efficiency using data analysis and programmatic leadership. Shares supervisory responsibility for advisors, including biannual evaluation and regular communication with advisors.</w:t>
            </w: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1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Director for College Programs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1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Provost/Shelton Leadership Center</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1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provided</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Specialist for College Programs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Provost/Shelton Leadership Center</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Provided</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Director for Pre-College Programs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Provost/Shelton Leadership Center</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Provided</w:t>
            </w:r>
            <w:r w:rsidDel="00000000" w:rsidR="00000000" w:rsidRPr="00000000">
              <w:rPr>
                <w:rtl w:val="0"/>
              </w:rPr>
            </w:r>
          </w:p>
        </w:tc>
      </w:tr>
    </w:tbl>
    <w:p w:rsidR="00000000" w:rsidDel="00000000" w:rsidP="00000000" w:rsidRDefault="00000000" w:rsidRPr="00000000" w14:paraId="00000129">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A">
      <w:pPr>
        <w:pBdr>
          <w:bottom w:color="0f4876" w:space="1" w:sz="4" w:val="single"/>
        </w:pBdr>
        <w:shd w:fill="0f4876" w:val="clear"/>
        <w:ind w:left="1080" w:hanging="108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PART 3:</w:t>
        <w:tab/>
        <w:t xml:space="preserve">An accounting of institutional budget expended on D&amp;I operations and activities, broken out by personnel and non-personnel costs and by funding source</w:t>
      </w:r>
    </w:p>
    <w:p w:rsidR="00000000" w:rsidDel="00000000" w:rsidP="00000000" w:rsidRDefault="00000000" w:rsidRPr="00000000" w14:paraId="0000012B">
      <w:pPr>
        <w:pBdr>
          <w:top w:color="0f4876" w:space="1" w:sz="4" w:val="single"/>
          <w:bottom w:color="0f4876" w:space="1" w:sz="4" w:val="single"/>
        </w:pBdr>
        <w:jc w:val="both"/>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This section must include all staff included in Part 2 above. Personnel costs should reflect only the portion of the position’s time associated with D&amp;I activities over the fiscal year. Distinguish expenses by funding source.</w:t>
      </w:r>
      <w:r w:rsidDel="00000000" w:rsidR="00000000" w:rsidRPr="00000000">
        <w:rPr>
          <w:rtl w:val="0"/>
        </w:rPr>
      </w:r>
    </w:p>
    <w:p w:rsidR="00000000" w:rsidDel="00000000" w:rsidP="00000000" w:rsidRDefault="00000000" w:rsidRPr="00000000" w14:paraId="000001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is the accounting of NC State’s institutional budget expended on D&amp;I operations and activities, broken out by personnel and non-personnel costs and by funding source. Of NC State’s budget of $1.6B (all sources of funding), D&amp;I operations and activities amount to less than one-half of one percent (</w:t>
      </w:r>
      <w:r w:rsidDel="00000000" w:rsidR="00000000" w:rsidRPr="00000000">
        <w:rPr>
          <w:rFonts w:ascii="Calibri" w:cs="Calibri" w:eastAsia="Calibri" w:hAnsi="Calibri"/>
          <w:sz w:val="22"/>
          <w:szCs w:val="22"/>
          <w:rtl w:val="0"/>
        </w:rPr>
        <w:t xml:space="preserve">0.45</w:t>
      </w:r>
      <w:r w:rsidDel="00000000" w:rsidR="00000000" w:rsidRPr="00000000">
        <w:rPr>
          <w:rFonts w:ascii="Calibri" w:cs="Calibri" w:eastAsia="Calibri" w:hAnsi="Calibri"/>
          <w:sz w:val="22"/>
          <w:szCs w:val="22"/>
          <w:rtl w:val="0"/>
        </w:rPr>
        <w:t xml:space="preserve">%) of the total University budget.</w:t>
      </w:r>
      <w:r w:rsidDel="00000000" w:rsidR="00000000" w:rsidRPr="00000000">
        <w:rPr>
          <w:rtl w:val="0"/>
        </w:rPr>
      </w:r>
    </w:p>
    <w:p w:rsidR="00000000" w:rsidDel="00000000" w:rsidP="00000000" w:rsidRDefault="00000000" w:rsidRPr="00000000" w14:paraId="000001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University</w:t>
      </w:r>
    </w:p>
    <w:tbl>
      <w:tblPr>
        <w:tblStyle w:val="Table2"/>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2080"/>
        <w:gridCol w:w="2080"/>
        <w:gridCol w:w="2080"/>
        <w:tblGridChange w:id="0">
          <w:tblGrid>
            <w:gridCol w:w="3120"/>
            <w:gridCol w:w="2080"/>
            <w:gridCol w:w="2080"/>
            <w:gridCol w:w="2080"/>
          </w:tblGrid>
        </w:tblGridChange>
      </w:tblGrid>
      <w:tr>
        <w:tc>
          <w:tcPr>
            <w:shd w:fill="dbe2e9" w:val="clear"/>
            <w:vAlign w:val="center"/>
          </w:tcPr>
          <w:p w:rsidR="00000000" w:rsidDel="00000000" w:rsidP="00000000" w:rsidRDefault="00000000" w:rsidRPr="00000000" w14:paraId="0000013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Type of Expense</w:t>
            </w:r>
          </w:p>
        </w:tc>
        <w:tc>
          <w:tcPr>
            <w:shd w:fill="dbe2e9" w:val="clear"/>
            <w:vAlign w:val="center"/>
          </w:tcPr>
          <w:p w:rsidR="00000000" w:rsidDel="00000000" w:rsidP="00000000" w:rsidRDefault="00000000" w:rsidRPr="00000000" w14:paraId="0000013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 Funds</w:t>
            </w:r>
          </w:p>
        </w:tc>
        <w:tc>
          <w:tcPr>
            <w:shd w:fill="dbe2e9" w:val="clear"/>
            <w:vAlign w:val="center"/>
          </w:tcPr>
          <w:p w:rsidR="00000000" w:rsidDel="00000000" w:rsidP="00000000" w:rsidRDefault="00000000" w:rsidRPr="00000000" w14:paraId="0000013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Non-State Funds</w:t>
            </w:r>
          </w:p>
        </w:tc>
        <w:tc>
          <w:tcPr>
            <w:shd w:fill="dbe2e9" w:val="clear"/>
            <w:vAlign w:val="center"/>
          </w:tcPr>
          <w:p w:rsidR="00000000" w:rsidDel="00000000" w:rsidP="00000000" w:rsidRDefault="00000000" w:rsidRPr="00000000" w14:paraId="0000013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Expenditures</w:t>
            </w:r>
          </w:p>
        </w:tc>
      </w:tr>
      <w:tr>
        <w:tc>
          <w:tcPr/>
          <w:p w:rsidR="00000000" w:rsidDel="00000000" w:rsidP="00000000" w:rsidRDefault="00000000" w:rsidRPr="00000000" w14:paraId="000001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Personnel Expenditures</w:t>
            </w:r>
          </w:p>
        </w:tc>
        <w:tc>
          <w:tcPr>
            <w:shd w:fill="auto" w:val="clear"/>
          </w:tcPr>
          <w:p w:rsidR="00000000" w:rsidDel="00000000" w:rsidP="00000000" w:rsidRDefault="00000000" w:rsidRPr="00000000" w14:paraId="0000013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$2,665,600</w:t>
            </w:r>
          </w:p>
        </w:tc>
        <w:tc>
          <w:tcPr>
            <w:shd w:fill="auto" w:val="clear"/>
          </w:tcPr>
          <w:p w:rsidR="00000000" w:rsidDel="00000000" w:rsidP="00000000" w:rsidRDefault="00000000" w:rsidRPr="00000000" w14:paraId="0000013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$1,369,767</w:t>
            </w:r>
          </w:p>
        </w:tc>
        <w:tc>
          <w:tcPr/>
          <w:p w:rsidR="00000000" w:rsidDel="00000000" w:rsidP="00000000" w:rsidRDefault="00000000" w:rsidRPr="00000000" w14:paraId="0000013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$4,035,367</w:t>
            </w:r>
          </w:p>
        </w:tc>
      </w:tr>
      <w:tr>
        <w:tc>
          <w:tcPr/>
          <w:p w:rsidR="00000000" w:rsidDel="00000000" w:rsidP="00000000" w:rsidRDefault="00000000" w:rsidRPr="00000000" w14:paraId="000001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Non-Personnel Expenditures</w:t>
            </w:r>
          </w:p>
        </w:tc>
        <w:tc>
          <w:tcPr>
            <w:shd w:fill="auto" w:val="clear"/>
          </w:tcPr>
          <w:p w:rsidR="00000000" w:rsidDel="00000000" w:rsidP="00000000" w:rsidRDefault="00000000" w:rsidRPr="00000000" w14:paraId="0000013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$1,698,341</w:t>
            </w:r>
          </w:p>
        </w:tc>
        <w:tc>
          <w:tcPr>
            <w:shd w:fill="auto" w:val="clear"/>
          </w:tcPr>
          <w:p w:rsidR="00000000" w:rsidDel="00000000" w:rsidP="00000000" w:rsidRDefault="00000000" w:rsidRPr="00000000" w14:paraId="0000013C">
            <w:pPr>
              <w:jc w:val="right"/>
              <w:rPr>
                <w:sz w:val="22"/>
                <w:szCs w:val="22"/>
              </w:rPr>
            </w:pPr>
            <w:r w:rsidDel="00000000" w:rsidR="00000000" w:rsidRPr="00000000">
              <w:rPr>
                <w:rFonts w:ascii="Calibri" w:cs="Calibri" w:eastAsia="Calibri" w:hAnsi="Calibri"/>
                <w:sz w:val="22"/>
                <w:szCs w:val="22"/>
                <w:rtl w:val="0"/>
              </w:rPr>
              <w:t xml:space="preserve">$1,389,988</w:t>
            </w:r>
            <w:r w:rsidDel="00000000" w:rsidR="00000000" w:rsidRPr="00000000">
              <w:rPr>
                <w:rtl w:val="0"/>
              </w:rPr>
            </w:r>
          </w:p>
          <w:p w:rsidR="00000000" w:rsidDel="00000000" w:rsidP="00000000" w:rsidRDefault="00000000" w:rsidRPr="00000000" w14:paraId="0000013D">
            <w:pPr>
              <w:jc w:val="righ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$3,088,329</w:t>
            </w:r>
          </w:p>
        </w:tc>
      </w:tr>
      <w:tr>
        <w:tc>
          <w:tcPr>
            <w:shd w:fill="dbe2e9" w:val="clear"/>
            <w:vAlign w:val="center"/>
          </w:tcPr>
          <w:p w:rsidR="00000000" w:rsidDel="00000000" w:rsidP="00000000" w:rsidRDefault="00000000" w:rsidRPr="00000000" w14:paraId="0000013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Expenditures</w:t>
            </w:r>
          </w:p>
        </w:tc>
        <w:tc>
          <w:tcPr>
            <w:shd w:fill="dbe2e9" w:val="clear"/>
          </w:tcPr>
          <w:p w:rsidR="00000000" w:rsidDel="00000000" w:rsidP="00000000" w:rsidRDefault="00000000" w:rsidRPr="00000000" w14:paraId="00000140">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$4,363,941</w:t>
            </w:r>
          </w:p>
        </w:tc>
        <w:tc>
          <w:tcPr>
            <w:shd w:fill="dbe2e9" w:val="clear"/>
          </w:tcPr>
          <w:p w:rsidR="00000000" w:rsidDel="00000000" w:rsidP="00000000" w:rsidRDefault="00000000" w:rsidRPr="00000000" w14:paraId="00000141">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$2,759,755</w:t>
            </w:r>
          </w:p>
        </w:tc>
        <w:tc>
          <w:tcPr>
            <w:shd w:fill="dbe2e9" w:val="clear"/>
          </w:tcPr>
          <w:p w:rsidR="00000000" w:rsidDel="00000000" w:rsidP="00000000" w:rsidRDefault="00000000" w:rsidRPr="00000000" w14:paraId="00000142">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$7,123,696</w:t>
            </w:r>
          </w:p>
        </w:tc>
      </w:tr>
    </w:tbl>
    <w:p w:rsidR="00000000" w:rsidDel="00000000" w:rsidP="00000000" w:rsidRDefault="00000000" w:rsidRPr="00000000" w14:paraId="0000014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6">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pBdr>
          <w:bottom w:color="0f4876" w:space="1" w:sz="4" w:val="single"/>
        </w:pBdr>
        <w:shd w:fill="0f4876" w:val="clear"/>
        <w:ind w:left="1080" w:hanging="108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PART 4:</w:t>
        <w:tab/>
        <w:t xml:space="preserve">A list of signature D&amp;I programs that serve a critical role in helping the constituent institution accomplish its learning and D&amp;I objectives, along with their purpose and any data on outcomes, including relevant participant feedback</w:t>
      </w:r>
    </w:p>
    <w:p w:rsidR="00000000" w:rsidDel="00000000" w:rsidP="00000000" w:rsidRDefault="00000000" w:rsidRPr="00000000" w14:paraId="00000149">
      <w:pPr>
        <w:pBdr>
          <w:top w:color="0f4876" w:space="1" w:sz="4" w:val="single"/>
          <w:bottom w:color="0f4876" w:space="1" w:sz="4" w:val="single"/>
        </w:pBdr>
        <w:jc w:val="both"/>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This list i</w:t>
      </w:r>
      <w:r w:rsidDel="00000000" w:rsidR="00000000" w:rsidRPr="00000000">
        <w:rPr>
          <w:rFonts w:ascii="Calibri" w:cs="Calibri" w:eastAsia="Calibri" w:hAnsi="Calibri"/>
          <w:i w:val="1"/>
          <w:sz w:val="22"/>
          <w:szCs w:val="22"/>
          <w:rtl w:val="0"/>
        </w:rPr>
        <w:t xml:space="preserve">s</w:t>
      </w:r>
      <w:r w:rsidDel="00000000" w:rsidR="00000000" w:rsidRPr="00000000">
        <w:rPr>
          <w:rFonts w:ascii="Calibri" w:cs="Calibri" w:eastAsia="Calibri" w:hAnsi="Calibri"/>
          <w:i w:val="1"/>
          <w:color w:val="000000"/>
          <w:sz w:val="22"/>
          <w:szCs w:val="22"/>
          <w:rtl w:val="0"/>
        </w:rPr>
        <w:t xml:space="preserve"> not intended to be exhaustive but should reflect the most significant D&amp;I programming. If feedback or related data on outcomes is not available, indicate how this data may be captured in the future. </w:t>
      </w:r>
      <w:r w:rsidDel="00000000" w:rsidR="00000000" w:rsidRPr="00000000">
        <w:rPr>
          <w:rtl w:val="0"/>
        </w:rPr>
      </w:r>
    </w:p>
    <w:p w:rsidR="00000000" w:rsidDel="00000000" w:rsidP="00000000" w:rsidRDefault="00000000" w:rsidRPr="00000000" w14:paraId="000001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w:t>
      </w:r>
      <w:r w:rsidDel="00000000" w:rsidR="00000000" w:rsidRPr="00000000">
        <w:rPr>
          <w:rFonts w:ascii="Calibri" w:cs="Calibri" w:eastAsia="Calibri" w:hAnsi="Calibri"/>
          <w:sz w:val="22"/>
          <w:szCs w:val="22"/>
          <w:rtl w:val="0"/>
        </w:rPr>
        <w:t xml:space="preserve">previously mentioned, NC State did not have a D&amp;I-specific Strategic Goal for 2019-2020. Consequently, metrics of impact for D&amp;I </w:t>
      </w:r>
      <w:r w:rsidDel="00000000" w:rsidR="00000000" w:rsidRPr="00000000">
        <w:rPr>
          <w:rFonts w:ascii="Calibri" w:cs="Calibri" w:eastAsia="Calibri" w:hAnsi="Calibri"/>
          <w:sz w:val="22"/>
          <w:szCs w:val="22"/>
          <w:rtl w:val="0"/>
        </w:rPr>
        <w:t xml:space="preserve">activities</w:t>
      </w:r>
      <w:r w:rsidDel="00000000" w:rsidR="00000000" w:rsidRPr="00000000">
        <w:rPr>
          <w:rFonts w:ascii="Calibri" w:cs="Calibri" w:eastAsia="Calibri" w:hAnsi="Calibri"/>
          <w:sz w:val="22"/>
          <w:szCs w:val="22"/>
          <w:rtl w:val="0"/>
        </w:rPr>
        <w:t xml:space="preserve"> are not easily collected nor </w:t>
      </w:r>
      <w:r w:rsidDel="00000000" w:rsidR="00000000" w:rsidRPr="00000000">
        <w:rPr>
          <w:rFonts w:ascii="Calibri" w:cs="Calibri" w:eastAsia="Calibri" w:hAnsi="Calibri"/>
          <w:sz w:val="22"/>
          <w:szCs w:val="22"/>
          <w:rtl w:val="0"/>
        </w:rPr>
        <w:t xml:space="preserve">uniform</w:t>
      </w:r>
      <w:r w:rsidDel="00000000" w:rsidR="00000000" w:rsidRPr="00000000">
        <w:rPr>
          <w:rFonts w:ascii="Calibri" w:cs="Calibri" w:eastAsia="Calibri" w:hAnsi="Calibri"/>
          <w:sz w:val="22"/>
          <w:szCs w:val="22"/>
          <w:rtl w:val="0"/>
        </w:rPr>
        <w:t xml:space="preserve"> to respond directly to a common set of objectives. </w:t>
      </w:r>
      <w:r w:rsidDel="00000000" w:rsidR="00000000" w:rsidRPr="00000000">
        <w:rPr>
          <w:rFonts w:ascii="Calibri" w:cs="Calibri" w:eastAsia="Calibri" w:hAnsi="Calibri"/>
          <w:sz w:val="22"/>
          <w:szCs w:val="22"/>
          <w:rtl w:val="0"/>
        </w:rPr>
        <w:t xml:space="preserve">The information provided below represents a sample of the breadth of D&amp;I activities taking place  at NC State.   </w:t>
      </w:r>
      <w:r w:rsidDel="00000000" w:rsidR="00000000" w:rsidRPr="00000000">
        <w:rPr>
          <w:rtl w:val="0"/>
        </w:rPr>
      </w:r>
    </w:p>
    <w:p w:rsidR="00000000" w:rsidDel="00000000" w:rsidP="00000000" w:rsidRDefault="00000000" w:rsidRPr="00000000" w14:paraId="0000014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D">
      <w:pPr>
        <w:spacing w:line="276"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OIED Signature D&amp;I Programs and Activitie</w:t>
      </w:r>
      <w:r w:rsidDel="00000000" w:rsidR="00000000" w:rsidRPr="00000000">
        <w:rPr>
          <w:rFonts w:ascii="Calibri" w:cs="Calibri" w:eastAsia="Calibri" w:hAnsi="Calibri"/>
          <w:b w:val="1"/>
          <w:sz w:val="22"/>
          <w:szCs w:val="22"/>
          <w:rtl w:val="0"/>
        </w:rPr>
        <w:t xml:space="preserve">s</w:t>
      </w:r>
    </w:p>
    <w:p w:rsidR="00000000" w:rsidDel="00000000" w:rsidP="00000000" w:rsidRDefault="00000000" w:rsidRPr="00000000" w14:paraId="0000014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OIED </w:t>
      </w:r>
      <w:hyperlink r:id="rId8">
        <w:r w:rsidDel="00000000" w:rsidR="00000000" w:rsidRPr="00000000">
          <w:rPr>
            <w:rFonts w:ascii="Calibri" w:cs="Calibri" w:eastAsia="Calibri" w:hAnsi="Calibri"/>
            <w:color w:val="1155cc"/>
            <w:sz w:val="22"/>
            <w:szCs w:val="22"/>
            <w:u w:val="single"/>
            <w:rtl w:val="0"/>
          </w:rPr>
          <w:t xml:space="preserve">2019-2020 annual report</w:t>
        </w:r>
      </w:hyperlink>
      <w:r w:rsidDel="00000000" w:rsidR="00000000" w:rsidRPr="00000000">
        <w:rPr>
          <w:rFonts w:ascii="Calibri" w:cs="Calibri" w:eastAsia="Calibri" w:hAnsi="Calibri"/>
          <w:sz w:val="22"/>
          <w:szCs w:val="22"/>
          <w:rtl w:val="0"/>
        </w:rPr>
        <w:t xml:space="preserve"> (hard copy provided) outlines many D&amp;I programs, including the following:</w:t>
      </w:r>
      <w:r w:rsidDel="00000000" w:rsidR="00000000" w:rsidRPr="00000000">
        <w:rPr>
          <w:rtl w:val="0"/>
        </w:rPr>
      </w:r>
    </w:p>
    <w:p w:rsidR="00000000" w:rsidDel="00000000" w:rsidP="00000000" w:rsidRDefault="00000000" w:rsidRPr="00000000" w14:paraId="0000014F">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0">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Recognizing D&amp;I Excellence and Incentivizing Community Culture at NC State</w:t>
      </w:r>
    </w:p>
    <w:p w:rsidR="00000000" w:rsidDel="00000000" w:rsidP="00000000" w:rsidRDefault="00000000" w:rsidRPr="00000000" w14:paraId="0000015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14th annual Chancellor’s Creating Community Awards, presented at the Recognizing Excellence in Diversity (RED) Event, honors outstanding faculty, staff, colleges, students and student organizations that have made exceptional contributions in the areas of equity, diversity and inclusion. On April 22, 2020, this event took place virtually for the first time via YouTube Premiere, attracting triple the audience of previous years. Awards were given in six categories: Outstanding Faculty Award; Outstanding Staff Award; Outstanding Student Award; Outstanding College Award; Outstanding Student Organization Award; and the Alumni Legacy Award, given for the first time this year.</w:t>
      </w:r>
    </w:p>
    <w:p w:rsidR="00000000" w:rsidDel="00000000" w:rsidP="00000000" w:rsidRDefault="00000000" w:rsidRPr="00000000" w14:paraId="0000015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3">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Building Future Faculty</w:t>
      </w:r>
    </w:p>
    <w:p w:rsidR="00000000" w:rsidDel="00000000" w:rsidP="00000000" w:rsidRDefault="00000000" w:rsidRPr="00000000" w14:paraId="0000015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Building Future Faculty (BFF) program is a 2.5- day professional development workshop for dissertation students, candidates and postdoctoral scholars who are preparing for faculty careers. Attendees learn about what to expect and what is expected of a faculty member at a research-extensive institution; participate in skill-building workshops and informational sessions; and interact with deans, department heads, and faculty in discussions concerning their academic work and career interests.</w:t>
      </w:r>
    </w:p>
    <w:p w:rsidR="00000000" w:rsidDel="00000000" w:rsidP="00000000" w:rsidRDefault="00000000" w:rsidRPr="00000000" w14:paraId="0000015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6">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Raising Awareness:  The Movement Peer Educators</w:t>
      </w:r>
    </w:p>
    <w:p w:rsidR="00000000" w:rsidDel="00000000" w:rsidP="00000000" w:rsidRDefault="00000000" w:rsidRPr="00000000" w14:paraId="0000015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Movement is a group of trained interpersonal violence prevention peer/student educators in the Women’s Center that seeks to end interpersonal violence at NC State through peer education, advocacy and collaborative action to ensure a safe and equitable campus community During the 2019- 2020 academic year, the center piloted its first facilitator training open to any current member of The Movement. In March 2020, 14 returning members received advanced training to become trained workshop facilitators. In 2019-2020 The Movement's workshop facilitators led 21 workshops, reaching approximately 244 people with information and practical skills related to consent, healthy relationships, sexual violence, stalking, bystander intervention and supporting survivors. The Movement also hosted numerous awareness raising events throughout the year. </w:t>
      </w:r>
    </w:p>
    <w:p w:rsidR="00000000" w:rsidDel="00000000" w:rsidP="00000000" w:rsidRDefault="00000000" w:rsidRPr="00000000" w14:paraId="0000015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9">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Inclusive Excellence and Strategic Practice (OIED)</w:t>
      </w:r>
    </w:p>
    <w:p w:rsidR="00000000" w:rsidDel="00000000" w:rsidP="00000000" w:rsidRDefault="00000000" w:rsidRPr="00000000" w14:paraId="0000015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Inclusive Excellence and Strategic Practice (IESP) unit, housed in OIED,  is our largest outreach and education unit for all campus constituencies, including faculty and staff.  </w:t>
      </w:r>
    </w:p>
    <w:p w:rsidR="00000000" w:rsidDel="00000000" w:rsidP="00000000" w:rsidRDefault="00000000" w:rsidRPr="00000000" w14:paraId="0000015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2019-20, OIED launched the </w:t>
      </w:r>
      <w:r w:rsidDel="00000000" w:rsidR="00000000" w:rsidRPr="00000000">
        <w:rPr>
          <w:rFonts w:ascii="Calibri" w:cs="Calibri" w:eastAsia="Calibri" w:hAnsi="Calibri"/>
          <w:b w:val="1"/>
          <w:sz w:val="22"/>
          <w:szCs w:val="22"/>
          <w:rtl w:val="0"/>
        </w:rPr>
        <w:t xml:space="preserve">Foundations of Cultural Competence and Inclusivity Certificate Program for Faculty,</w:t>
      </w:r>
      <w:r w:rsidDel="00000000" w:rsidR="00000000" w:rsidRPr="00000000">
        <w:rPr>
          <w:rFonts w:ascii="Calibri" w:cs="Calibri" w:eastAsia="Calibri" w:hAnsi="Calibri"/>
          <w:sz w:val="22"/>
          <w:szCs w:val="22"/>
          <w:rtl w:val="0"/>
        </w:rPr>
        <w:t xml:space="preserve"> consisting of the following components:  DiversityEdu (online) for Faculty; Cultural Intelligence (CQ) Assessment Workshop; Building Cultural Competence Knowledge and Skills Workshop.</w:t>
      </w:r>
    </w:p>
    <w:p w:rsidR="00000000" w:rsidDel="00000000" w:rsidP="00000000" w:rsidRDefault="00000000" w:rsidRPr="00000000" w14:paraId="0000015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E">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Collegial Conversations</w:t>
      </w:r>
    </w:p>
    <w:p w:rsidR="00000000" w:rsidDel="00000000" w:rsidP="00000000" w:rsidRDefault="00000000" w:rsidRPr="00000000" w14:paraId="0000015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an effort to provide NC State employees with relevant topics and timely and valuable information following campus’ closure, coupled with racial protests, Inclusive Excellence and Strategic Practice elected to host a virtual professional development series. The topics were: Facilitating Inclusive Meetings; Safety, Productivity and Stress: Managing Self, Work and Family Amidst a Pandemic; and Identities Beyond Athlete. The sessions averaged over 70 attendees. </w:t>
      </w:r>
    </w:p>
    <w:p w:rsidR="00000000" w:rsidDel="00000000" w:rsidP="00000000" w:rsidRDefault="00000000" w:rsidRPr="00000000" w14:paraId="0000016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Campus Community Centers (OIED)</w:t>
      </w:r>
    </w:p>
    <w:p w:rsidR="00000000" w:rsidDel="00000000" w:rsidP="00000000" w:rsidRDefault="00000000" w:rsidRPr="00000000" w14:paraId="00000162">
      <w:pPr>
        <w:tabs>
          <w:tab w:val="left" w:pos="3193"/>
          <w:tab w:val="left" w:pos="631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OIED Campus Community Centers (CCC), housed in OIED, include the African American Cultural Center, GLBT Center, Multicultural Student Affairs, and the Women’s Center.  Together, the CCC are key providers in developing, implementing, and assessing our student community programs. Through their initiatives, we can engage thousands of students during one academic year. The following is a summary of the types of programs offered and some of the participants' notable outcomes and reactions.</w:t>
      </w:r>
    </w:p>
    <w:p w:rsidR="00000000" w:rsidDel="00000000" w:rsidP="00000000" w:rsidRDefault="00000000" w:rsidRPr="00000000" w14:paraId="00000163">
      <w:pPr>
        <w:numPr>
          <w:ilvl w:val="0"/>
          <w:numId w:val="2"/>
        </w:numPr>
        <w:tabs>
          <w:tab w:val="left" w:pos="3193"/>
          <w:tab w:val="left" w:pos="631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CCC creates opportunities for educational experiences that engage students towards cultural competence, cultural humility, identity development, student success and retention - including elements of inclusion, belonging and well-being. This rich array of programming has proven to be an essential component of student engagement and success, as evidenced by student responses and continued engagement.</w:t>
      </w:r>
    </w:p>
    <w:p w:rsidR="00000000" w:rsidDel="00000000" w:rsidP="00000000" w:rsidRDefault="00000000" w:rsidRPr="00000000" w14:paraId="00000164">
      <w:pPr>
        <w:numPr>
          <w:ilvl w:val="0"/>
          <w:numId w:val="2"/>
        </w:numPr>
        <w:tabs>
          <w:tab w:val="left" w:pos="3193"/>
          <w:tab w:val="left" w:pos="631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CCC does not do this work alone, but works in close collaborations with the following units: College Diversity Coordinators, Counseling Center, Prevention Services, Residence Life, Fraternity and Sorority Life, Military and Veterans Affairs, Disability Resource Office, Resident Student Organizations, Equal Opportunity and Equity, and numerous other college and division diversity programs, academic units and community organizations.</w:t>
      </w:r>
    </w:p>
    <w:p w:rsidR="00000000" w:rsidDel="00000000" w:rsidP="00000000" w:rsidRDefault="00000000" w:rsidRPr="00000000" w14:paraId="0000016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spacing w:line="276" w:lineRule="auto"/>
        <w:rPr>
          <w:rFonts w:ascii="Calibri" w:cs="Calibri" w:eastAsia="Calibri" w:hAnsi="Calibri"/>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167">
      <w:pPr>
        <w:spacing w:line="276"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68">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Division and College Signature D&amp;I Programs</w:t>
      </w:r>
    </w:p>
    <w:p w:rsidR="00000000" w:rsidDel="00000000" w:rsidP="00000000" w:rsidRDefault="00000000" w:rsidRPr="00000000" w14:paraId="0000016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asked to provide information about signature D&amp;I programs, defined</w:t>
      </w:r>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sz w:val="22"/>
          <w:szCs w:val="22"/>
          <w:rtl w:val="0"/>
        </w:rPr>
        <w:t xml:space="preserve"> as programs that “serve a critical role in helping the constituent institution accomplish its learning and D&amp;I objectives” NC State divisions and colleges responded with a robust and diverse array of activities. Of the 147 programs submitted, divisions and colleges </w:t>
      </w:r>
      <w:r w:rsidDel="00000000" w:rsidR="00000000" w:rsidRPr="00000000">
        <w:rPr>
          <w:rFonts w:ascii="Calibri" w:cs="Calibri" w:eastAsia="Calibri" w:hAnsi="Calibri"/>
          <w:sz w:val="22"/>
          <w:szCs w:val="22"/>
          <w:rtl w:val="0"/>
        </w:rPr>
        <w:t xml:space="preserve">reported</w:t>
      </w:r>
      <w:r w:rsidDel="00000000" w:rsidR="00000000" w:rsidRPr="00000000">
        <w:rPr>
          <w:rFonts w:ascii="Calibri" w:cs="Calibri" w:eastAsia="Calibri" w:hAnsi="Calibri"/>
          <w:sz w:val="22"/>
          <w:szCs w:val="22"/>
          <w:rtl w:val="0"/>
        </w:rPr>
        <w:t xml:space="preserve"> the top identified outcomes as follows:</w:t>
      </w:r>
    </w:p>
    <w:p w:rsidR="00000000" w:rsidDel="00000000" w:rsidP="00000000" w:rsidRDefault="00000000" w:rsidRPr="00000000" w14:paraId="0000016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B">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Improve culture/climate: 31 programs/</w:t>
      </w:r>
      <w:r w:rsidDel="00000000" w:rsidR="00000000" w:rsidRPr="00000000">
        <w:rPr>
          <w:rFonts w:ascii="Calibri" w:cs="Calibri" w:eastAsia="Calibri" w:hAnsi="Calibri"/>
          <w:sz w:val="22"/>
          <w:szCs w:val="22"/>
          <w:rtl w:val="0"/>
        </w:rPr>
        <w:t xml:space="preserve">activities</w:t>
      </w:r>
      <w:r w:rsidDel="00000000" w:rsidR="00000000" w:rsidRPr="00000000">
        <w:rPr>
          <w:rtl w:val="0"/>
        </w:rPr>
      </w:r>
    </w:p>
    <w:p w:rsidR="00000000" w:rsidDel="00000000" w:rsidP="00000000" w:rsidRDefault="00000000" w:rsidRPr="00000000" w14:paraId="0000016C">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recruitment: 26 programs/activities</w:t>
      </w:r>
    </w:p>
    <w:p w:rsidR="00000000" w:rsidDel="00000000" w:rsidP="00000000" w:rsidRDefault="00000000" w:rsidRPr="00000000" w14:paraId="0000016D">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retention: 26 programs/activities</w:t>
      </w:r>
    </w:p>
    <w:p w:rsidR="00000000" w:rsidDel="00000000" w:rsidP="00000000" w:rsidRDefault="00000000" w:rsidRPr="00000000" w14:paraId="0000016E">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cultural competence: 20 programs/activities</w:t>
      </w:r>
    </w:p>
    <w:p w:rsidR="00000000" w:rsidDel="00000000" w:rsidP="00000000" w:rsidRDefault="00000000" w:rsidRPr="00000000" w14:paraId="0000016F">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Leadership development in D&amp;I realm: 11 programs/activities</w:t>
      </w:r>
    </w:p>
    <w:p w:rsidR="00000000" w:rsidDel="00000000" w:rsidP="00000000" w:rsidRDefault="00000000" w:rsidRPr="00000000" w14:paraId="00000170">
      <w:pPr>
        <w:numPr>
          <w:ilvl w:val="1"/>
          <w:numId w:val="3"/>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of these programs related to faculty/staff development; 4 related to students</w:t>
      </w:r>
    </w:p>
    <w:p w:rsidR="00000000" w:rsidDel="00000000" w:rsidP="00000000" w:rsidRDefault="00000000" w:rsidRPr="00000000" w14:paraId="00000171">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Faculty/staff recruitment: 6 programs/activities</w:t>
      </w:r>
    </w:p>
    <w:p w:rsidR="00000000" w:rsidDel="00000000" w:rsidP="00000000" w:rsidRDefault="00000000" w:rsidRPr="00000000" w14:paraId="00000172">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Diversifying the global workforce: 5 programs/activities</w:t>
      </w:r>
      <w:r w:rsidDel="00000000" w:rsidR="00000000" w:rsidRPr="00000000">
        <w:rPr>
          <w:rtl w:val="0"/>
        </w:rPr>
      </w:r>
    </w:p>
    <w:p w:rsidR="00000000" w:rsidDel="00000000" w:rsidP="00000000" w:rsidRDefault="00000000" w:rsidRPr="00000000" w14:paraId="00000173">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Improve inclusive teaching: 5 programs/activities</w:t>
      </w:r>
    </w:p>
    <w:p w:rsidR="00000000" w:rsidDel="00000000" w:rsidP="00000000" w:rsidRDefault="00000000" w:rsidRPr="00000000" w14:paraId="00000174">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change: 3 programs/activities</w:t>
      </w:r>
    </w:p>
    <w:p w:rsidR="00000000" w:rsidDel="00000000" w:rsidP="00000000" w:rsidRDefault="00000000" w:rsidRPr="00000000" w14:paraId="00000175">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Faculty/staff retention: 3 programs/</w:t>
      </w:r>
      <w:r w:rsidDel="00000000" w:rsidR="00000000" w:rsidRPr="00000000">
        <w:rPr>
          <w:rFonts w:ascii="Calibri" w:cs="Calibri" w:eastAsia="Calibri" w:hAnsi="Calibri"/>
          <w:sz w:val="22"/>
          <w:szCs w:val="22"/>
          <w:rtl w:val="0"/>
        </w:rPr>
        <w:t xml:space="preserve">activities</w:t>
      </w:r>
      <w:r w:rsidDel="00000000" w:rsidR="00000000" w:rsidRPr="00000000">
        <w:rPr>
          <w:rtl w:val="0"/>
        </w:rPr>
      </w:r>
    </w:p>
    <w:p w:rsidR="00000000" w:rsidDel="00000000" w:rsidP="00000000" w:rsidRDefault="00000000" w:rsidRPr="00000000" w14:paraId="0000017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7">
      <w:pPr>
        <w:shd w:fill="ffffff" w:val="clear"/>
        <w:spacing w:after="160" w:line="240" w:lineRule="auto"/>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A sample of the many efforts described by divisions and colleges is provided below.</w:t>
      </w:r>
      <w:r w:rsidDel="00000000" w:rsidR="00000000" w:rsidRPr="00000000">
        <w:rPr>
          <w:rtl w:val="0"/>
        </w:rPr>
      </w:r>
    </w:p>
    <w:p w:rsidR="00000000" w:rsidDel="00000000" w:rsidP="00000000" w:rsidRDefault="00000000" w:rsidRPr="00000000" w14:paraId="00000178">
      <w:pPr>
        <w:shd w:fill="ffffff" w:val="clear"/>
        <w:spacing w:after="160" w:line="240" w:lineRule="auto"/>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Student Retention and Success</w:t>
      </w:r>
    </w:p>
    <w:tbl>
      <w:tblPr>
        <w:tblStyle w:val="Table3"/>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trHeight w:val="168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7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DASA:</w:t>
            </w:r>
          </w:p>
          <w:p w:rsidR="00000000" w:rsidDel="00000000" w:rsidP="00000000" w:rsidRDefault="00000000" w:rsidRPr="00000000" w14:paraId="0000017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Support Services/TRIO</w:t>
            </w:r>
          </w:p>
          <w:p w:rsidR="00000000" w:rsidDel="00000000" w:rsidP="00000000" w:rsidRDefault="00000000" w:rsidRPr="00000000" w14:paraId="0000017B">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(federally funded)</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7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Through the SSS and SSS-STEM programs, students are introduced to university resources, faculty and administrators, dedicated peer tutors and committed program professionals. SSS and SSS-STEM offers supplemental tutoring, academic skills development, and specialized services to assist students in developing necessary skills and strategies to succeed in college. All services are free and available to any student who completes the application, qualifies under federal guidelines, and is invited into the program. https://trio.dasa.ncsu.edu/student-support-services/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7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Persistence Rate (All Program Participants) SSS-96% STEM-95%</w:t>
            </w:r>
          </w:p>
          <w:p w:rsidR="00000000" w:rsidDel="00000000" w:rsidP="00000000" w:rsidRDefault="00000000" w:rsidRPr="00000000" w14:paraId="0000017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First-Year Retention Rate SSS-100% (23 out of 23) STEM-100% (28 out of 28)</w:t>
            </w:r>
          </w:p>
          <w:p w:rsidR="00000000" w:rsidDel="00000000" w:rsidP="00000000" w:rsidRDefault="00000000" w:rsidRPr="00000000" w14:paraId="0000018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Academic Standing SSS-97% STEM-99%</w:t>
            </w:r>
          </w:p>
          <w:p w:rsidR="00000000" w:rsidDel="00000000" w:rsidP="00000000" w:rsidRDefault="00000000" w:rsidRPr="00000000" w14:paraId="0000018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6-Year Graduation Rate SSS-88.46% STEM-93.33%</w:t>
            </w:r>
          </w:p>
        </w:tc>
      </w:tr>
    </w:tbl>
    <w:p w:rsidR="00000000" w:rsidDel="00000000" w:rsidP="00000000" w:rsidRDefault="00000000" w:rsidRPr="00000000" w14:paraId="00000182">
      <w:pPr>
        <w:shd w:fill="ffffff" w:val="clear"/>
        <w:spacing w:after="160" w:line="240" w:lineRule="auto"/>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183">
      <w:pPr>
        <w:shd w:fill="ffffff" w:val="clear"/>
        <w:spacing w:after="160" w:line="240" w:lineRule="auto"/>
        <w:rPr>
          <w:rFonts w:ascii="Calibri" w:cs="Calibri" w:eastAsia="Calibri" w:hAnsi="Calibri"/>
          <w:b w:val="1"/>
          <w:color w:val="333333"/>
          <w:sz w:val="22"/>
          <w:szCs w:val="22"/>
        </w:rPr>
      </w:pPr>
      <w:r w:rsidDel="00000000" w:rsidR="00000000" w:rsidRPr="00000000">
        <w:rPr>
          <w:rtl w:val="0"/>
        </w:rPr>
      </w:r>
    </w:p>
    <w:p w:rsidR="00000000" w:rsidDel="00000000" w:rsidP="00000000" w:rsidRDefault="00000000" w:rsidRPr="00000000" w14:paraId="00000184">
      <w:pPr>
        <w:shd w:fill="ffffff" w:val="clear"/>
        <w:spacing w:after="160" w:line="240" w:lineRule="auto"/>
        <w:rPr>
          <w:rFonts w:ascii="Calibri" w:cs="Calibri" w:eastAsia="Calibri" w:hAnsi="Calibri"/>
          <w:b w:val="1"/>
          <w:color w:val="333333"/>
          <w:sz w:val="22"/>
          <w:szCs w:val="22"/>
        </w:rPr>
      </w:pPr>
      <w:r w:rsidDel="00000000" w:rsidR="00000000" w:rsidRPr="00000000">
        <w:rPr>
          <w:rtl w:val="0"/>
        </w:rPr>
      </w:r>
    </w:p>
    <w:p w:rsidR="00000000" w:rsidDel="00000000" w:rsidP="00000000" w:rsidRDefault="00000000" w:rsidRPr="00000000" w14:paraId="00000185">
      <w:pPr>
        <w:shd w:fill="ffffff" w:val="clear"/>
        <w:spacing w:after="160" w:line="240" w:lineRule="auto"/>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 Improve Inclusive Teaching and Faculty Development</w:t>
      </w:r>
    </w:p>
    <w:tbl>
      <w:tblPr>
        <w:tblStyle w:val="Table4"/>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trHeight w:val="192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8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Office of Faculty Development:</w:t>
            </w:r>
            <w:r w:rsidDel="00000000" w:rsidR="00000000" w:rsidRPr="00000000">
              <w:rPr>
                <w:rtl w:val="0"/>
              </w:rPr>
            </w:r>
          </w:p>
          <w:p w:rsidR="00000000" w:rsidDel="00000000" w:rsidP="00000000" w:rsidRDefault="00000000" w:rsidRPr="00000000" w14:paraId="00000187">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Inclusive Teaching Certification (ITC) </w:t>
            </w:r>
          </w:p>
          <w:p w:rsidR="00000000" w:rsidDel="00000000" w:rsidP="00000000" w:rsidRDefault="00000000" w:rsidRPr="00000000" w14:paraId="00000189">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B">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8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To reflect on multiple facets of inclusive teaching, encompassing the creation of a welcoming, equitable course climate, the design and implementation of accessible and inclusive classroom practices and assessments, and the selection and implementation of inclusive, diverse course content. Participants will engage with key concepts in inclusive teaching and learn from various stakeholders on our campus and other institutions of higher education who share their important research on student development, Universal Design for Learning, intercultural competence, and intrapersonal awareness.</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8D">
            <w:pPr>
              <w:widowControl w:val="0"/>
              <w:spacing w:line="276"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Number ITC participants FY2019-20 =77</w:t>
            </w:r>
          </w:p>
          <w:p w:rsidR="00000000" w:rsidDel="00000000" w:rsidP="00000000" w:rsidRDefault="00000000" w:rsidRPr="00000000" w14:paraId="0000018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Participants shared that discussion modules allow for participants to engage in dialogue with other professionals and also welcome diverse perspectives and opinions that allow individuals to self-reflect and challenge themes to be open minded and consider implementing many of the strategies and concepts presented in the modules. Participants indicated that the Certification expanded the design and thought processes they experience in their approach to teaching.</w:t>
            </w:r>
            <w:r w:rsidDel="00000000" w:rsidR="00000000" w:rsidRPr="00000000">
              <w:rPr>
                <w:rtl w:val="0"/>
              </w:rPr>
            </w:r>
          </w:p>
        </w:tc>
      </w:tr>
    </w:tbl>
    <w:p w:rsidR="00000000" w:rsidDel="00000000" w:rsidP="00000000" w:rsidRDefault="00000000" w:rsidRPr="00000000" w14:paraId="0000018F">
      <w:pPr>
        <w:shd w:fill="ffffff" w:val="clear"/>
        <w:spacing w:after="160" w:line="240" w:lineRule="auto"/>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19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Building Cultural Competence and Preparing the Global Workforce</w:t>
      </w:r>
    </w:p>
    <w:tbl>
      <w:tblPr>
        <w:tblStyle w:val="Table5"/>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trHeight w:val="51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Education: </w:t>
            </w:r>
          </w:p>
          <w:p w:rsidR="00000000" w:rsidDel="00000000" w:rsidP="00000000" w:rsidRDefault="00000000" w:rsidRPr="00000000" w14:paraId="0000019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Leadership Institute for Future Teachers (LIFT)</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Residential summer program to increase the number of bilingual and students of color interested in teaching and enhance their leadership skills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89% of the respondents felt LIFT was helpful in their consideration to pursue teaching as a profession</w:t>
            </w:r>
          </w:p>
        </w:tc>
      </w:tr>
    </w:tbl>
    <w:p w:rsidR="00000000" w:rsidDel="00000000" w:rsidP="00000000" w:rsidRDefault="00000000" w:rsidRPr="00000000" w14:paraId="000001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 and Faculty Recruitment and Retention, Preparing the Global Workforce</w:t>
      </w:r>
    </w:p>
    <w:tbl>
      <w:tblPr>
        <w:tblStyle w:val="Table6"/>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trHeight w:val="99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of Sciences: </w:t>
            </w:r>
          </w:p>
          <w:p w:rsidR="00000000" w:rsidDel="00000000" w:rsidP="00000000" w:rsidRDefault="00000000" w:rsidRPr="00000000" w14:paraId="0000019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Diversity in STEM Symposium &amp; Dinner</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 two years, the college’s Diversity in STEM Symposium brings together NC State students, faculty, staff and alumni and the general public to explore issues related to increasing and supporting diversity in STEM fields.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9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day includes a keynote speech, research poster presentations, networking opportunities and breakout sessions. Past symposia have included sessions on respecting culture in STEM research, inclusion in advising, breaking artificial barriers and creating spaces that support marginalized identities.</w:t>
            </w:r>
          </w:p>
        </w:tc>
      </w:tr>
    </w:tbl>
    <w:p w:rsidR="00000000" w:rsidDel="00000000" w:rsidP="00000000" w:rsidRDefault="00000000" w:rsidRPr="00000000" w14:paraId="000001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Faculty and Staff Retention, Building Cultural Competence</w:t>
      </w:r>
    </w:p>
    <w:tbl>
      <w:tblPr>
        <w:tblStyle w:val="Table7"/>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trHeight w:val="168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Libraries:</w:t>
            </w:r>
          </w:p>
          <w:p w:rsidR="00000000" w:rsidDel="00000000" w:rsidP="00000000" w:rsidRDefault="00000000" w:rsidRPr="00000000" w14:paraId="000001A3">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Diversity Talks Program</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Libraries' EDI Committee leads the Diversity Talks Program, which takes place monthly and involves an engaging, open discussion about current diversity topics in the library, on campus, and in our larger communities. Each month, the committee sponsors a workshop, invites a guest speaker, or leads a discussion group on a diversity topic. These are often done in partnership with the university's Office of Institutional Equity &amp; Diversity (OIED). These events are intended primarily for library staff but may occasionally be open to students or the larger campus community. This program began in 2016.</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average, when in person/onsite, each Diversity Talks program was attended by 40 staff. Through consistent offerings of OIED workshops for library staff, such as Project Safe, we have more than doubled the number of Project Safe and Green Zone allies for our campus community. Since the pandemic, participation has only grown. For instance, a recent virtual Diversity Talk attracted 112 staff.</w:t>
            </w:r>
          </w:p>
        </w:tc>
      </w:tr>
    </w:tbl>
    <w:p w:rsidR="00000000" w:rsidDel="00000000" w:rsidP="00000000" w:rsidRDefault="00000000" w:rsidRPr="00000000" w14:paraId="000001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 Success and Retention, Preparing the Global Workforce</w:t>
      </w:r>
    </w:p>
    <w:tbl>
      <w:tblPr>
        <w:tblStyle w:val="Table8"/>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trHeight w:val="3555"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Shelton Leadership:</w:t>
            </w:r>
          </w:p>
          <w:p w:rsidR="00000000" w:rsidDel="00000000" w:rsidP="00000000" w:rsidRDefault="00000000" w:rsidRPr="00000000" w14:paraId="000001AB">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Chancellor's Leadership Development Program (CLDP)</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The Chancellor’s Leadership Development Program (CLDP) seeks to support incoming first-year students who are first-generation college students and/or are from rural counties within North Carolina. Students from all colleges within NC State University are accepted into the program. CLDP is structured as a two-year program, with an optional third year, to help students maximize their leadership skills through experiential learning and self-discovery. Throughout the program, students participate weekly in various programs and activities to develop strong cohort communities, a sense of belonging within NC State, and a clear personal vision for who they are and what they hope to achieve in the future. The third-year option for CLDP challenges students to apply the competencies from the first two years of the program. Students will assume responsibilities for program management through the Leadership Council, assisting with developing the program structure for the first-year and sophomore cohorts, taking lead on team development, supporting the retreats, etc. Students will also have the opportunity to participate in an international experience in which they will take the lead in planning the experience and leading their peers in real time.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A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Program Outcomes: Demonstrate respect for others’ viewpoints; Differentiate between individual and cultural differences; Empathize and connect with individuals different from themselves; Use knowledge of similarities and differences between people to make sensitive and appropriate decisions; Contribute to a positive organizational environment through active participation and cooperation with others; Outcomes Related to International Trip: Examine the similarities and differences between home and host cultures; Identify interconnections between local and global issues; Reflect on personal growth and confidence based on cultural experience.</w:t>
            </w:r>
          </w:p>
        </w:tc>
      </w:tr>
    </w:tbl>
    <w:p w:rsidR="00000000" w:rsidDel="00000000" w:rsidP="00000000" w:rsidRDefault="00000000" w:rsidRPr="00000000" w14:paraId="000001A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Staff Retention, Building Cultural Competency</w:t>
      </w:r>
    </w:p>
    <w:p w:rsidR="00000000" w:rsidDel="00000000" w:rsidP="00000000" w:rsidRDefault="00000000" w:rsidRPr="00000000" w14:paraId="000001B3">
      <w:pPr>
        <w:rPr>
          <w:rFonts w:ascii="Calibri" w:cs="Calibri" w:eastAsia="Calibri" w:hAnsi="Calibri"/>
          <w:b w:val="1"/>
          <w:sz w:val="22"/>
          <w:szCs w:val="22"/>
        </w:rPr>
      </w:pPr>
      <w:r w:rsidDel="00000000" w:rsidR="00000000" w:rsidRPr="00000000">
        <w:rPr>
          <w:rtl w:val="0"/>
        </w:rPr>
      </w:r>
    </w:p>
    <w:tbl>
      <w:tblPr>
        <w:tblStyle w:val="Table9"/>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9.2207792207794"/>
        <w:gridCol w:w="3700.779220779221"/>
        <w:gridCol w:w="4160"/>
        <w:tblGridChange w:id="0">
          <w:tblGrid>
            <w:gridCol w:w="1499.2207792207794"/>
            <w:gridCol w:w="3700.779220779221"/>
            <w:gridCol w:w="4160"/>
          </w:tblGrid>
        </w:tblGridChange>
      </w:tblGrid>
      <w:tr>
        <w:trPr>
          <w:trHeight w:val="192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Campus Enterprises: </w:t>
            </w:r>
          </w:p>
          <w:p w:rsidR="00000000" w:rsidDel="00000000" w:rsidP="00000000" w:rsidRDefault="00000000" w:rsidRPr="00000000" w14:paraId="000001B5">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 Orientation and Training Programs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2019-2020, Campus Enterprises developed a new employee orientation program for temporary employees, including content on discrimination and harassment. We also partnered with OIED to offer DHPR training to all full time employees in fall of 2019. We continued to offer our orientation for student employees and other workshops on D&amp;I topics throughout the year.</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B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2019-2020, 209 temporary employees completed the new orientation, and 516 permanent and temporary employees completed DHPR. Altogether, staff participated in 2,925 hours of training that included a D&amp;I component.</w:t>
            </w:r>
          </w:p>
        </w:tc>
      </w:tr>
    </w:tbl>
    <w:p w:rsidR="00000000" w:rsidDel="00000000" w:rsidP="00000000" w:rsidRDefault="00000000" w:rsidRPr="00000000" w14:paraId="000001B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A">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5">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END OF REPORT</w:t>
      </w:r>
      <w:r w:rsidDel="00000000" w:rsidR="00000000" w:rsidRPr="00000000">
        <w:rPr>
          <w:rtl w:val="0"/>
        </w:rPr>
      </w:r>
    </w:p>
    <w:sectPr>
      <w:headerReference r:id="rId9" w:type="default"/>
      <w:footerReference r:id="rId10" w:type="default"/>
      <w:pgSz w:h="15840" w:w="12240" w:orient="portrait"/>
      <w:pgMar w:bottom="1152" w:top="1440" w:left="1440" w:right="1440"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keepNext w:val="0"/>
      <w:keepLines w:val="0"/>
      <w:widowControl w:val="1"/>
      <w:pBdr>
        <w:top w:color="0f4876"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widowControl w:val="1"/>
      <w:pBdr>
        <w:top w:space="0" w:sz="0" w:val="nil"/>
        <w:left w:space="0" w:sz="0" w:val="nil"/>
        <w:bottom w:color="0f4876"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DIVERSITY AND INCLUSION ANNUAL REPORT TO BOARD OF TRUSTEES</w:t>
      <w:tab/>
      <w:t xml:space="preserve">FY 2019-20</w:t>
      <w:br w:type="textWrapping"/>
    </w:r>
    <w:r w:rsidDel="00000000" w:rsidR="00000000" w:rsidRPr="00000000">
      <w:rPr>
        <w:rFonts w:ascii="Calibri" w:cs="Calibri" w:eastAsia="Calibri" w:hAnsi="Calibri"/>
        <w:sz w:val="20"/>
        <w:szCs w:val="20"/>
        <w:rtl w:val="0"/>
      </w:rPr>
      <w:t xml:space="preserve">NC STATE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UNIVERSITY</w:t>
      <w:tab/>
      <w:tab/>
    </w:r>
    <w:r w:rsidDel="00000000" w:rsidR="00000000" w:rsidRPr="00000000">
      <w:rPr>
        <w:rFonts w:ascii="Calibri" w:cs="Calibri" w:eastAsia="Calibri" w:hAnsi="Calibri"/>
        <w:sz w:val="20"/>
        <w:szCs w:val="20"/>
        <w:rtl w:val="0"/>
      </w:rPr>
      <w:t xml:space="preserve">03-22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F6E1C"/>
    <w:pPr>
      <w:spacing w:after="0"/>
    </w:pPr>
    <w:rPr>
      <w:rFonts w:ascii="Times New Roman" w:cs="Times New Roman" w:eastAsia="Times New Roman" w:hAnsi="Times New Roman"/>
      <w:sz w:val="24"/>
      <w:szCs w:val="24"/>
    </w:rPr>
  </w:style>
  <w:style w:type="paragraph" w:styleId="Heading2">
    <w:name w:val="heading 2"/>
    <w:basedOn w:val="Normal"/>
    <w:link w:val="Heading2Char"/>
    <w:uiPriority w:val="9"/>
    <w:qFormat w:val="1"/>
    <w:rsid w:val="006D4788"/>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D4633"/>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1D4633"/>
  </w:style>
  <w:style w:type="paragraph" w:styleId="Footer">
    <w:name w:val="footer"/>
    <w:basedOn w:val="Normal"/>
    <w:link w:val="FooterChar"/>
    <w:uiPriority w:val="99"/>
    <w:unhideWhenUsed w:val="1"/>
    <w:rsid w:val="001D4633"/>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1D4633"/>
  </w:style>
  <w:style w:type="paragraph" w:styleId="NormalWeb">
    <w:name w:val="Normal (Web)"/>
    <w:basedOn w:val="Normal"/>
    <w:uiPriority w:val="99"/>
    <w:semiHidden w:val="1"/>
    <w:unhideWhenUsed w:val="1"/>
    <w:rsid w:val="00041B0A"/>
    <w:pPr>
      <w:spacing w:after="100" w:afterAutospacing="1" w:before="100" w:beforeAutospacing="1"/>
    </w:pPr>
  </w:style>
  <w:style w:type="table" w:styleId="TableGrid">
    <w:name w:val="Table Grid"/>
    <w:basedOn w:val="TableNormal"/>
    <w:uiPriority w:val="39"/>
    <w:rsid w:val="00434904"/>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048AF"/>
    <w:pPr>
      <w:spacing w:after="180"/>
      <w:ind w:left="720"/>
      <w:contextualSpacing w:val="1"/>
    </w:pPr>
    <w:rPr>
      <w:rFonts w:asciiTheme="minorHAnsi" w:cstheme="minorBidi" w:eastAsiaTheme="minorHAnsi" w:hAnsiTheme="minorHAnsi"/>
      <w:sz w:val="22"/>
      <w:szCs w:val="22"/>
    </w:rPr>
  </w:style>
  <w:style w:type="character" w:styleId="Heading2Char" w:customStyle="1">
    <w:name w:val="Heading 2 Char"/>
    <w:basedOn w:val="DefaultParagraphFont"/>
    <w:link w:val="Heading2"/>
    <w:uiPriority w:val="9"/>
    <w:rsid w:val="006D4788"/>
    <w:rPr>
      <w:rFonts w:ascii="Times New Roman" w:cs="Times New Roman" w:eastAsia="Times New Roman" w:hAnsi="Times New Roman"/>
      <w:b w:val="1"/>
      <w:bCs w:val="1"/>
      <w:sz w:val="36"/>
      <w:szCs w:val="36"/>
    </w:rPr>
  </w:style>
  <w:style w:type="character" w:styleId="apple-converted-space" w:customStyle="1">
    <w:name w:val="apple-converted-space"/>
    <w:basedOn w:val="DefaultParagraphFont"/>
    <w:rsid w:val="006D4788"/>
  </w:style>
  <w:style w:type="character" w:styleId="Hyperlink">
    <w:name w:val="Hyperlink"/>
    <w:basedOn w:val="DefaultParagraphFont"/>
    <w:uiPriority w:val="99"/>
    <w:unhideWhenUsed w:val="1"/>
    <w:rsid w:val="006D4788"/>
    <w:rPr>
      <w:color w:val="0000ff"/>
      <w:u w:val="single"/>
    </w:rPr>
  </w:style>
  <w:style w:type="character" w:styleId="UnresolvedMention">
    <w:name w:val="Unresolved Mention"/>
    <w:basedOn w:val="DefaultParagraphFont"/>
    <w:uiPriority w:val="99"/>
    <w:semiHidden w:val="1"/>
    <w:unhideWhenUsed w:val="1"/>
    <w:rsid w:val="00EA73EB"/>
    <w:rPr>
      <w:color w:val="605e5c"/>
      <w:shd w:color="auto" w:fill="e1dfdd" w:val="clear"/>
    </w:rPr>
  </w:style>
  <w:style w:type="character" w:styleId="Strong">
    <w:name w:val="Strong"/>
    <w:basedOn w:val="DefaultParagraphFont"/>
    <w:uiPriority w:val="22"/>
    <w:qFormat w:val="1"/>
    <w:rsid w:val="007300C7"/>
    <w:rPr>
      <w:b w:val="1"/>
      <w:bCs w:val="1"/>
    </w:rPr>
  </w:style>
  <w:style w:type="paragraph" w:styleId="NoSpacing">
    <w:name w:val="No Spacing"/>
    <w:uiPriority w:val="1"/>
    <w:qFormat w:val="1"/>
    <w:rsid w:val="007300C7"/>
    <w:pPr>
      <w:spacing w:after="0"/>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72.0" w:type="dxa"/>
        <w:left w:w="72.0" w:type="dxa"/>
        <w:bottom w:w="72.0" w:type="dxa"/>
        <w:right w:w="72.0" w:type="dxa"/>
      </w:tblCellMar>
    </w:tblPr>
  </w:style>
  <w:style w:type="table" w:styleId="Table2">
    <w:basedOn w:val="TableNormal"/>
    <w:pPr>
      <w:spacing w:after="0" w:lineRule="auto"/>
    </w:pPr>
    <w:tblPr>
      <w:tblStyleRowBandSize w:val="1"/>
      <w:tblStyleColBandSize w:val="1"/>
      <w:tblCellMar>
        <w:top w:w="72.0" w:type="dxa"/>
        <w:left w:w="72.0" w:type="dxa"/>
        <w:bottom w:w="72.0" w:type="dxa"/>
        <w:right w:w="72.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iversity.ncsu.edu/wp-content/uploads/2020/10/OIED_Annual_Report_2020.pdf" TargetMode="External"/></Relationships>
</file>

<file path=word/theme/theme1.xml><?xml version="1.0" encoding="utf-8"?>
<a:theme xmlns:a="http://schemas.openxmlformats.org/drawingml/2006/main" name="Office Theme">
  <a:themeElements>
    <a:clrScheme name="SysOfc Colors">
      <a:dk1>
        <a:sysClr val="windowText" lastClr="000000"/>
      </a:dk1>
      <a:lt1>
        <a:sysClr val="window" lastClr="FFFFFF"/>
      </a:lt1>
      <a:dk2>
        <a:srgbClr val="DBE2E9"/>
      </a:dk2>
      <a:lt2>
        <a:srgbClr val="F0F3F5"/>
      </a:lt2>
      <a:accent1>
        <a:srgbClr val="0F4876"/>
      </a:accent1>
      <a:accent2>
        <a:srgbClr val="BC1F52"/>
      </a:accent2>
      <a:accent3>
        <a:srgbClr val="FEC524"/>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qZ/qoxOrW/b/dxjupqvbEcy8KA==">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2021-02-08T22:43:00Z</dcterms:created>
  <dc:creator>Christopher S. Chiron</dc:creator>
</cp:coreProperties>
</file>